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3326" w:rsidRPr="008B3326" w:rsidRDefault="008B3326" w:rsidP="008B3326">
      <w:pPr>
        <w:jc w:val="both"/>
        <w:rPr>
          <w:b/>
          <w:bCs/>
          <w:sz w:val="24"/>
          <w:szCs w:val="24"/>
        </w:rPr>
      </w:pPr>
      <w:bookmarkStart w:id="0" w:name="_GoBack"/>
      <w:bookmarkEnd w:id="0"/>
    </w:p>
    <w:p w:rsidR="008B3326" w:rsidRPr="008B3326" w:rsidRDefault="008B3326" w:rsidP="008B3326">
      <w:pPr>
        <w:jc w:val="both"/>
        <w:rPr>
          <w:b/>
          <w:bCs/>
          <w:sz w:val="24"/>
          <w:szCs w:val="24"/>
        </w:rPr>
      </w:pPr>
      <w:r w:rsidRPr="008B3326">
        <w:rPr>
          <w:b/>
          <w:bCs/>
          <w:sz w:val="24"/>
          <w:szCs w:val="24"/>
        </w:rPr>
        <w:t>Obbligo di concludere un contratto</w:t>
      </w:r>
    </w:p>
    <w:p w:rsidR="008B3326" w:rsidRPr="008B3326" w:rsidRDefault="008B3326" w:rsidP="008B3326">
      <w:pPr>
        <w:jc w:val="both"/>
        <w:rPr>
          <w:b/>
          <w:bCs/>
          <w:sz w:val="24"/>
          <w:szCs w:val="24"/>
        </w:rPr>
      </w:pPr>
      <w:r w:rsidRPr="008B3326">
        <w:rPr>
          <w:b/>
          <w:bCs/>
          <w:sz w:val="24"/>
          <w:szCs w:val="24"/>
        </w:rPr>
        <w:t>Tribunale Milano, sez. lav., 03/05/</w:t>
      </w:r>
      <w:proofErr w:type="gramStart"/>
      <w:r w:rsidRPr="008B3326">
        <w:rPr>
          <w:b/>
          <w:bCs/>
          <w:sz w:val="24"/>
          <w:szCs w:val="24"/>
        </w:rPr>
        <w:t>2017,  n.</w:t>
      </w:r>
      <w:proofErr w:type="gramEnd"/>
      <w:r w:rsidRPr="008B3326">
        <w:rPr>
          <w:b/>
          <w:bCs/>
          <w:sz w:val="24"/>
          <w:szCs w:val="24"/>
        </w:rPr>
        <w:t xml:space="preserve"> 1105</w:t>
      </w:r>
    </w:p>
    <w:p w:rsidR="008B3326" w:rsidRPr="008B3326" w:rsidRDefault="008B3326" w:rsidP="008B3326">
      <w:pPr>
        <w:jc w:val="both"/>
        <w:rPr>
          <w:sz w:val="24"/>
          <w:szCs w:val="24"/>
        </w:rPr>
      </w:pPr>
      <w:hyperlink r:id="rId5" w:tooltip="Documenti stessa classificazione" w:history="1">
        <w:r w:rsidRPr="008B3326">
          <w:rPr>
            <w:rStyle w:val="Collegamentoipertestuale"/>
            <w:b/>
            <w:bCs/>
            <w:sz w:val="24"/>
            <w:szCs w:val="24"/>
          </w:rPr>
          <w:t>LAVORO</w:t>
        </w:r>
        <w:r w:rsidRPr="008B3326">
          <w:rPr>
            <w:rStyle w:val="Collegamentoipertestuale"/>
            <w:sz w:val="24"/>
            <w:szCs w:val="24"/>
          </w:rPr>
          <w:t> SUBORDINATO (Contratto collettivo di) - In genere</w:t>
        </w:r>
      </w:hyperlink>
    </w:p>
    <w:p w:rsidR="008B3326" w:rsidRPr="008B3326" w:rsidRDefault="008B3326" w:rsidP="008B3326">
      <w:pPr>
        <w:jc w:val="both"/>
        <w:rPr>
          <w:b/>
          <w:bCs/>
          <w:sz w:val="24"/>
          <w:szCs w:val="24"/>
        </w:rPr>
      </w:pPr>
      <w:r w:rsidRPr="008B3326">
        <w:rPr>
          <w:b/>
          <w:bCs/>
          <w:sz w:val="24"/>
          <w:szCs w:val="24"/>
        </w:rPr>
        <w:t>Riassunzione di ex dipendenti di società appaltatrici su accordo tra imprenditore ed OOSS: è contratto a favore di terzo</w:t>
      </w:r>
    </w:p>
    <w:p w:rsidR="008B3326" w:rsidRPr="008B3326" w:rsidRDefault="008B3326" w:rsidP="008B3326">
      <w:pPr>
        <w:jc w:val="both"/>
        <w:rPr>
          <w:sz w:val="24"/>
          <w:szCs w:val="24"/>
        </w:rPr>
      </w:pPr>
      <w:r w:rsidRPr="008B3326">
        <w:rPr>
          <w:sz w:val="24"/>
          <w:szCs w:val="24"/>
        </w:rPr>
        <w:t>L'accordo collettivo, di natura obbligatoria, stipulato tra un imprenditore e un'organizzazione sindacale dei </w:t>
      </w:r>
      <w:r w:rsidRPr="008B3326">
        <w:rPr>
          <w:b/>
          <w:bCs/>
          <w:sz w:val="24"/>
          <w:szCs w:val="24"/>
        </w:rPr>
        <w:t>lavoratori</w:t>
      </w:r>
      <w:r w:rsidRPr="008B3326">
        <w:rPr>
          <w:sz w:val="24"/>
          <w:szCs w:val="24"/>
        </w:rPr>
        <w:t>, con cui il primo assume nei confronti della seconda impegni relativi alla assunzione di ex dipendenti di società appaltatrici di </w:t>
      </w:r>
      <w:r w:rsidRPr="008B3326">
        <w:rPr>
          <w:b/>
          <w:bCs/>
          <w:sz w:val="24"/>
          <w:szCs w:val="24"/>
        </w:rPr>
        <w:t>lavori</w:t>
      </w:r>
      <w:r w:rsidRPr="008B3326">
        <w:rPr>
          <w:sz w:val="24"/>
          <w:szCs w:val="24"/>
        </w:rPr>
        <w:t> per conto del medesimo imprenditore presso altre aziende subentranti nei contratti di appalto, può configurare un contratto a favore di terzi da cui derivano specifici diritti dei </w:t>
      </w:r>
      <w:r w:rsidRPr="008B3326">
        <w:rPr>
          <w:b/>
          <w:bCs/>
          <w:sz w:val="24"/>
          <w:szCs w:val="24"/>
        </w:rPr>
        <w:t>lavoratori</w:t>
      </w:r>
      <w:r w:rsidRPr="008B3326">
        <w:rPr>
          <w:sz w:val="24"/>
          <w:szCs w:val="24"/>
        </w:rPr>
        <w:t> interessati nei confronti dell'imprenditore stipulante; a tal fine occorre peraltro che in base all'accordo siano individuabili come beneficiari dei soggetti rimasti estranei alla stipulazione, che risultino contestualmente determinati o almeno determinabili.</w:t>
      </w:r>
    </w:p>
    <w:p w:rsidR="008B3326" w:rsidRPr="008B3326" w:rsidRDefault="008B3326" w:rsidP="008B3326">
      <w:pPr>
        <w:jc w:val="both"/>
        <w:rPr>
          <w:sz w:val="24"/>
          <w:szCs w:val="24"/>
        </w:rPr>
      </w:pPr>
      <w:r w:rsidRPr="008B3326">
        <w:rPr>
          <w:b/>
          <w:bCs/>
          <w:sz w:val="24"/>
          <w:szCs w:val="24"/>
        </w:rPr>
        <w:t>Cassazione civile, sez. lav., 03/03/</w:t>
      </w:r>
      <w:proofErr w:type="gramStart"/>
      <w:r w:rsidRPr="008B3326">
        <w:rPr>
          <w:b/>
          <w:bCs/>
          <w:sz w:val="24"/>
          <w:szCs w:val="24"/>
        </w:rPr>
        <w:t>2014,  n.</w:t>
      </w:r>
      <w:proofErr w:type="gramEnd"/>
      <w:r w:rsidRPr="008B3326">
        <w:rPr>
          <w:b/>
          <w:bCs/>
          <w:sz w:val="24"/>
          <w:szCs w:val="24"/>
        </w:rPr>
        <w:t xml:space="preserve"> 4915</w:t>
      </w:r>
    </w:p>
    <w:p w:rsidR="008B3326" w:rsidRPr="008B3326" w:rsidRDefault="008B3326" w:rsidP="008B3326">
      <w:pPr>
        <w:jc w:val="both"/>
        <w:rPr>
          <w:sz w:val="24"/>
          <w:szCs w:val="24"/>
        </w:rPr>
      </w:pPr>
      <w:r w:rsidRPr="008B3326">
        <w:rPr>
          <w:b/>
          <w:bCs/>
          <w:sz w:val="24"/>
          <w:szCs w:val="24"/>
        </w:rPr>
        <w:t>LAVORO SUBORDINATO (Rapporto di) - Collocamento al lavoro - in genere - Procedure selettive ex art. 16 della legge n. 56 del 1987 - Effetti - Obbligo di stipulare il contratto di lavoro - Esecuzione in forma specifica ex art. 2932 cod. civ. - Ammissibilità - Condizioni - Limiti. </w:t>
      </w:r>
      <w:r w:rsidRPr="008B3326">
        <w:rPr>
          <w:b/>
          <w:bCs/>
          <w:sz w:val="24"/>
          <w:szCs w:val="24"/>
        </w:rPr>
        <w:br/>
      </w:r>
    </w:p>
    <w:p w:rsidR="008B3326" w:rsidRPr="008B3326" w:rsidRDefault="008B3326" w:rsidP="008B3326">
      <w:pPr>
        <w:jc w:val="both"/>
        <w:rPr>
          <w:sz w:val="24"/>
          <w:szCs w:val="24"/>
        </w:rPr>
      </w:pPr>
      <w:r w:rsidRPr="008B3326">
        <w:rPr>
          <w:sz w:val="24"/>
          <w:szCs w:val="24"/>
        </w:rPr>
        <w:t>All'esito di procedure selettive ex art. 16 della legge n. 56 del 1987, la costituzione del rapporto di </w:t>
      </w:r>
      <w:r w:rsidRPr="008B3326">
        <w:rPr>
          <w:b/>
          <w:bCs/>
          <w:sz w:val="24"/>
          <w:szCs w:val="24"/>
        </w:rPr>
        <w:t>lavoro</w:t>
      </w:r>
      <w:r w:rsidRPr="008B3326">
        <w:rPr>
          <w:sz w:val="24"/>
          <w:szCs w:val="24"/>
        </w:rPr>
        <w:t>, pur obbligatoria, non è automatica, richiedendo necessariamente l'intervento della volontà delle parti ai fini della concreta specificazione del suo contenuto in ordine ad elementi essenziali quali la retribuzione, le mansioni e la qualifica; ne deriva che, ove l'obbligo del datore di </w:t>
      </w:r>
      <w:r w:rsidRPr="008B3326">
        <w:rPr>
          <w:b/>
          <w:bCs/>
          <w:sz w:val="24"/>
          <w:szCs w:val="24"/>
        </w:rPr>
        <w:t>lavoro</w:t>
      </w:r>
      <w:r w:rsidRPr="008B3326">
        <w:rPr>
          <w:sz w:val="24"/>
          <w:szCs w:val="24"/>
        </w:rPr>
        <w:t> rimanga inadempiuto, il </w:t>
      </w:r>
      <w:r w:rsidRPr="008B3326">
        <w:rPr>
          <w:b/>
          <w:bCs/>
          <w:sz w:val="24"/>
          <w:szCs w:val="24"/>
        </w:rPr>
        <w:t>lavoratore</w:t>
      </w:r>
      <w:r w:rsidRPr="008B3326">
        <w:rPr>
          <w:sz w:val="24"/>
          <w:szCs w:val="24"/>
        </w:rPr>
        <w:t> non può esperire il rimedio dell'esecuzione in forma specifica ai sensi dell'art. 2932 cod. civ., ma ha (soltanto) il diritto all'integrale risarcimento dei danni, salvo il caso in cui sia la legge stessa a prevedere la qualifica, le mansioni e il trattamento economico e normativo del </w:t>
      </w:r>
      <w:r w:rsidRPr="008B3326">
        <w:rPr>
          <w:b/>
          <w:bCs/>
          <w:sz w:val="24"/>
          <w:szCs w:val="24"/>
        </w:rPr>
        <w:t>lavoratore</w:t>
      </w:r>
      <w:r w:rsidRPr="008B3326">
        <w:rPr>
          <w:sz w:val="24"/>
          <w:szCs w:val="24"/>
        </w:rPr>
        <w:t> avviato. (Nel caso di specie, la S.C. ha confermato la pronuncia della corte territoriale, costitutiva del rapporto ai sensi dell'art. 2932 cod. civ., non avendo il ricorrente dedotto e dimostrato il difetto degli elementi essenziali del contratto di </w:t>
      </w:r>
      <w:r w:rsidRPr="008B3326">
        <w:rPr>
          <w:b/>
          <w:bCs/>
          <w:sz w:val="24"/>
          <w:szCs w:val="24"/>
        </w:rPr>
        <w:t>lavoro</w:t>
      </w:r>
      <w:r w:rsidRPr="008B3326">
        <w:rPr>
          <w:sz w:val="24"/>
          <w:szCs w:val="24"/>
        </w:rPr>
        <w:t>).</w:t>
      </w:r>
    </w:p>
    <w:p w:rsidR="00E574D0" w:rsidRPr="00E574D0" w:rsidRDefault="00E574D0" w:rsidP="00E574D0">
      <w:pPr>
        <w:jc w:val="both"/>
        <w:rPr>
          <w:b/>
          <w:bCs/>
          <w:sz w:val="24"/>
          <w:szCs w:val="24"/>
        </w:rPr>
      </w:pPr>
      <w:r w:rsidRPr="00E574D0">
        <w:rPr>
          <w:b/>
          <w:bCs/>
          <w:sz w:val="24"/>
          <w:szCs w:val="24"/>
        </w:rPr>
        <w:t>Cassazione civile, sez. I, 23/01/</w:t>
      </w:r>
      <w:proofErr w:type="gramStart"/>
      <w:r w:rsidRPr="00E574D0">
        <w:rPr>
          <w:b/>
          <w:bCs/>
          <w:sz w:val="24"/>
          <w:szCs w:val="24"/>
        </w:rPr>
        <w:t>1978,  n.</w:t>
      </w:r>
      <w:proofErr w:type="gramEnd"/>
      <w:r w:rsidRPr="00E574D0">
        <w:rPr>
          <w:b/>
          <w:bCs/>
          <w:sz w:val="24"/>
          <w:szCs w:val="24"/>
        </w:rPr>
        <w:t xml:space="preserve"> 298</w:t>
      </w:r>
    </w:p>
    <w:p w:rsidR="00E574D0" w:rsidRPr="00E574D0" w:rsidRDefault="00E574D0" w:rsidP="00E574D0">
      <w:pPr>
        <w:numPr>
          <w:ilvl w:val="0"/>
          <w:numId w:val="5"/>
        </w:numPr>
        <w:jc w:val="both"/>
        <w:rPr>
          <w:sz w:val="24"/>
          <w:szCs w:val="24"/>
        </w:rPr>
      </w:pPr>
      <w:hyperlink r:id="rId6" w:tooltip="Documenti stessa classificazione" w:history="1">
        <w:r w:rsidRPr="00E574D0">
          <w:rPr>
            <w:rStyle w:val="Collegamentoipertestuale"/>
            <w:sz w:val="24"/>
            <w:szCs w:val="24"/>
          </w:rPr>
          <w:t>OBBLIGAZIONI E CONTRATTI - Esecuzione specifica dell'obbligo di concludere un contratto</w:t>
        </w:r>
      </w:hyperlink>
    </w:p>
    <w:p w:rsidR="00E574D0" w:rsidRPr="00E574D0" w:rsidRDefault="00E574D0" w:rsidP="00E574D0">
      <w:pPr>
        <w:numPr>
          <w:ilvl w:val="0"/>
          <w:numId w:val="6"/>
        </w:numPr>
        <w:jc w:val="both"/>
        <w:rPr>
          <w:sz w:val="24"/>
          <w:szCs w:val="24"/>
        </w:rPr>
      </w:pPr>
      <w:r w:rsidRPr="00E574D0">
        <w:rPr>
          <w:sz w:val="24"/>
          <w:szCs w:val="24"/>
        </w:rPr>
        <w:t>L'art. 2932 c.c. si riferisce ad un obbligo di concludere il contratto che sia già stato volontariamente assunto dall'obbligato, e non trova applicazione all'ipotesi di inadempimento dell'obbligo legale di contrarre di cui all'art. </w:t>
      </w:r>
      <w:r w:rsidRPr="00E574D0">
        <w:rPr>
          <w:b/>
          <w:bCs/>
          <w:sz w:val="24"/>
          <w:szCs w:val="24"/>
        </w:rPr>
        <w:t>2597</w:t>
      </w:r>
      <w:r w:rsidRPr="00E574D0">
        <w:rPr>
          <w:sz w:val="24"/>
          <w:szCs w:val="24"/>
        </w:rPr>
        <w:t> c.c. contro il quale l'utente può tutelarsi solo con un'azione di risarcimento del danno.</w:t>
      </w:r>
    </w:p>
    <w:p w:rsidR="00E574D0" w:rsidRDefault="00E574D0" w:rsidP="00E574D0">
      <w:pPr>
        <w:jc w:val="both"/>
        <w:rPr>
          <w:b/>
          <w:bCs/>
          <w:sz w:val="24"/>
          <w:szCs w:val="24"/>
        </w:rPr>
      </w:pPr>
      <w:r>
        <w:rPr>
          <w:b/>
          <w:bCs/>
          <w:sz w:val="24"/>
          <w:szCs w:val="24"/>
        </w:rPr>
        <w:lastRenderedPageBreak/>
        <w:t>T</w:t>
      </w:r>
      <w:r w:rsidRPr="00E574D0">
        <w:rPr>
          <w:b/>
          <w:bCs/>
          <w:sz w:val="24"/>
          <w:szCs w:val="24"/>
        </w:rPr>
        <w:t>ribunale Bari, sez. II, 11/10/2004,</w:t>
      </w:r>
    </w:p>
    <w:p w:rsidR="00E574D0" w:rsidRPr="00E574D0" w:rsidRDefault="00E574D0" w:rsidP="00E574D0">
      <w:pPr>
        <w:jc w:val="both"/>
        <w:rPr>
          <w:sz w:val="24"/>
          <w:szCs w:val="24"/>
        </w:rPr>
      </w:pPr>
      <w:r w:rsidRPr="00E574D0">
        <w:rPr>
          <w:sz w:val="24"/>
          <w:szCs w:val="24"/>
        </w:rPr>
        <w:t xml:space="preserve"> </w:t>
      </w:r>
      <w:hyperlink r:id="rId7" w:tooltip="Documenti stessa classificazione" w:history="1">
        <w:r w:rsidRPr="00E574D0">
          <w:rPr>
            <w:rStyle w:val="Collegamentoipertestuale"/>
            <w:sz w:val="24"/>
            <w:szCs w:val="24"/>
          </w:rPr>
          <w:t>IMPRESA E IMPRENDITORE - Responsabilità dell'imprenditore</w:t>
        </w:r>
      </w:hyperlink>
    </w:p>
    <w:p w:rsidR="00E574D0" w:rsidRPr="00E574D0" w:rsidRDefault="00E574D0" w:rsidP="00E574D0">
      <w:pPr>
        <w:jc w:val="both"/>
        <w:rPr>
          <w:sz w:val="24"/>
          <w:szCs w:val="24"/>
        </w:rPr>
      </w:pPr>
      <w:r w:rsidRPr="00E574D0">
        <w:rPr>
          <w:sz w:val="24"/>
          <w:szCs w:val="24"/>
        </w:rPr>
        <w:t xml:space="preserve">Nell'art. 9 l. 18 giugno 1998 n. 192, è stabilito il divieto dell'interruzione arbitraria delle relazioni commerciali, così come del rifiuto di vendere o acquistare, la cui violazione costituisce fonte di obbligazione risarcitoria a carico del contraente "forte", ma non prevede affatto alcun obbligo specifico a contrarre, che, una volta costituito per ordine del giudice, possa essere eseguito coattivamente, </w:t>
      </w:r>
      <w:proofErr w:type="spellStart"/>
      <w:r w:rsidRPr="00E574D0">
        <w:rPr>
          <w:sz w:val="24"/>
          <w:szCs w:val="24"/>
        </w:rPr>
        <w:t>nè</w:t>
      </w:r>
      <w:proofErr w:type="spellEnd"/>
      <w:r w:rsidRPr="00E574D0">
        <w:rPr>
          <w:sz w:val="24"/>
          <w:szCs w:val="24"/>
        </w:rPr>
        <w:t xml:space="preserve"> tanto meno che possa essere addirittura anticipato coattivamente negli effetti mediante la richiesta cautela. Invero, appare arduo trasformare un provvedimento inibitorio, che per definizione comporta l'imposizione di un obbligo di non fare, in un provvedimento che, in spregio a quanto disposto dall'art. 2908 c.c., costituisca un rapporto giuridico al di fuori dei casi espressamente previsti dalla legge (2932 c.c., </w:t>
      </w:r>
      <w:r w:rsidRPr="00E574D0">
        <w:rPr>
          <w:b/>
          <w:bCs/>
          <w:sz w:val="24"/>
          <w:szCs w:val="24"/>
        </w:rPr>
        <w:t>2597</w:t>
      </w:r>
      <w:r w:rsidRPr="00E574D0">
        <w:rPr>
          <w:sz w:val="24"/>
          <w:szCs w:val="24"/>
        </w:rPr>
        <w:t> c.c.,) ovvero che imponga in via cautelare un obbligo di fare, quale è quello di prestare il proprio consenso per la conclusione di un contratto che, per il suo carattere di infungibilità, non è peraltro coercibile e quindi suscettibile di esecuzione forzata.</w:t>
      </w:r>
    </w:p>
    <w:p w:rsidR="00FF49B1" w:rsidRPr="008B3326" w:rsidRDefault="00FF49B1" w:rsidP="008B3326">
      <w:pPr>
        <w:jc w:val="both"/>
        <w:rPr>
          <w:sz w:val="24"/>
          <w:szCs w:val="24"/>
        </w:rPr>
      </w:pPr>
    </w:p>
    <w:sectPr w:rsidR="00FF49B1" w:rsidRPr="008B3326" w:rsidSect="00FF49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F2F13"/>
    <w:multiLevelType w:val="multilevel"/>
    <w:tmpl w:val="56E2B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34A7A"/>
    <w:multiLevelType w:val="multilevel"/>
    <w:tmpl w:val="F6164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517E3"/>
    <w:multiLevelType w:val="multilevel"/>
    <w:tmpl w:val="274E2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500A67"/>
    <w:multiLevelType w:val="multilevel"/>
    <w:tmpl w:val="9D9AA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434931"/>
    <w:multiLevelType w:val="multilevel"/>
    <w:tmpl w:val="577C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F64E6D"/>
    <w:multiLevelType w:val="multilevel"/>
    <w:tmpl w:val="E9D2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E76162"/>
    <w:multiLevelType w:val="multilevel"/>
    <w:tmpl w:val="63CAD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42953"/>
    <w:multiLevelType w:val="multilevel"/>
    <w:tmpl w:val="14207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3"/>
  </w:num>
  <w:num w:numId="5">
    <w:abstractNumId w:val="1"/>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326"/>
    <w:rsid w:val="0000594D"/>
    <w:rsid w:val="0002059F"/>
    <w:rsid w:val="0002454F"/>
    <w:rsid w:val="000626B8"/>
    <w:rsid w:val="00071EF9"/>
    <w:rsid w:val="000A592B"/>
    <w:rsid w:val="000B7547"/>
    <w:rsid w:val="000E536D"/>
    <w:rsid w:val="000F694E"/>
    <w:rsid w:val="00131B16"/>
    <w:rsid w:val="001B2DFE"/>
    <w:rsid w:val="001E4CD3"/>
    <w:rsid w:val="002018C3"/>
    <w:rsid w:val="0022220B"/>
    <w:rsid w:val="00233789"/>
    <w:rsid w:val="00267DC3"/>
    <w:rsid w:val="00272734"/>
    <w:rsid w:val="00313407"/>
    <w:rsid w:val="00340E1D"/>
    <w:rsid w:val="00372B98"/>
    <w:rsid w:val="003B4D7B"/>
    <w:rsid w:val="003C049C"/>
    <w:rsid w:val="003C2CE1"/>
    <w:rsid w:val="003C4F56"/>
    <w:rsid w:val="003F4CDD"/>
    <w:rsid w:val="00413338"/>
    <w:rsid w:val="00424160"/>
    <w:rsid w:val="0043403C"/>
    <w:rsid w:val="004356FF"/>
    <w:rsid w:val="00443321"/>
    <w:rsid w:val="0048477C"/>
    <w:rsid w:val="004D1364"/>
    <w:rsid w:val="004D7AF4"/>
    <w:rsid w:val="004F3D6B"/>
    <w:rsid w:val="00511A52"/>
    <w:rsid w:val="0057694C"/>
    <w:rsid w:val="00594F56"/>
    <w:rsid w:val="00613E32"/>
    <w:rsid w:val="00657BC9"/>
    <w:rsid w:val="006A17CB"/>
    <w:rsid w:val="006A3AF3"/>
    <w:rsid w:val="007037B6"/>
    <w:rsid w:val="00717311"/>
    <w:rsid w:val="00791788"/>
    <w:rsid w:val="007F59AA"/>
    <w:rsid w:val="0082670B"/>
    <w:rsid w:val="00832A49"/>
    <w:rsid w:val="00856EA7"/>
    <w:rsid w:val="00897E96"/>
    <w:rsid w:val="008B3326"/>
    <w:rsid w:val="008C3EFD"/>
    <w:rsid w:val="008E6A81"/>
    <w:rsid w:val="008F4C03"/>
    <w:rsid w:val="009124D1"/>
    <w:rsid w:val="00937FFC"/>
    <w:rsid w:val="009600AD"/>
    <w:rsid w:val="009D0235"/>
    <w:rsid w:val="009E13FF"/>
    <w:rsid w:val="00A11158"/>
    <w:rsid w:val="00A2428F"/>
    <w:rsid w:val="00A31A6F"/>
    <w:rsid w:val="00A31D57"/>
    <w:rsid w:val="00A61726"/>
    <w:rsid w:val="00B135FB"/>
    <w:rsid w:val="00B16407"/>
    <w:rsid w:val="00B37D58"/>
    <w:rsid w:val="00B773BF"/>
    <w:rsid w:val="00B922E6"/>
    <w:rsid w:val="00BA20BA"/>
    <w:rsid w:val="00BA3CCB"/>
    <w:rsid w:val="00C0431B"/>
    <w:rsid w:val="00C06CC5"/>
    <w:rsid w:val="00C10A93"/>
    <w:rsid w:val="00C2746A"/>
    <w:rsid w:val="00C3319A"/>
    <w:rsid w:val="00C47398"/>
    <w:rsid w:val="00C65198"/>
    <w:rsid w:val="00C80AF4"/>
    <w:rsid w:val="00C83D99"/>
    <w:rsid w:val="00C865F7"/>
    <w:rsid w:val="00CB0BEF"/>
    <w:rsid w:val="00CE729A"/>
    <w:rsid w:val="00D331F3"/>
    <w:rsid w:val="00D873AA"/>
    <w:rsid w:val="00DE5E1A"/>
    <w:rsid w:val="00E21615"/>
    <w:rsid w:val="00E574D0"/>
    <w:rsid w:val="00E75205"/>
    <w:rsid w:val="00E82682"/>
    <w:rsid w:val="00F16280"/>
    <w:rsid w:val="00F23F3B"/>
    <w:rsid w:val="00F35936"/>
    <w:rsid w:val="00F36252"/>
    <w:rsid w:val="00F37AFB"/>
    <w:rsid w:val="00F60015"/>
    <w:rsid w:val="00F63F26"/>
    <w:rsid w:val="00F8251A"/>
    <w:rsid w:val="00FE4EC7"/>
    <w:rsid w:val="00FF49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6FA69"/>
  <w15:chartTrackingRefBased/>
  <w15:docId w15:val="{A42F701D-EE2E-4CB6-A7C2-196CC883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F49B1"/>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B3326"/>
    <w:rPr>
      <w:color w:val="0000FF" w:themeColor="hyperlink"/>
      <w:u w:val="single"/>
    </w:rPr>
  </w:style>
  <w:style w:type="character" w:styleId="Menzionenonrisolta">
    <w:name w:val="Unresolved Mention"/>
    <w:basedOn w:val="Carpredefinitoparagrafo"/>
    <w:uiPriority w:val="99"/>
    <w:semiHidden/>
    <w:unhideWhenUsed/>
    <w:rsid w:val="008B3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432811">
      <w:bodyDiv w:val="1"/>
      <w:marLeft w:val="0"/>
      <w:marRight w:val="0"/>
      <w:marTop w:val="0"/>
      <w:marBottom w:val="0"/>
      <w:divBdr>
        <w:top w:val="none" w:sz="0" w:space="0" w:color="auto"/>
        <w:left w:val="none" w:sz="0" w:space="0" w:color="auto"/>
        <w:bottom w:val="none" w:sz="0" w:space="0" w:color="auto"/>
        <w:right w:val="none" w:sz="0" w:space="0" w:color="auto"/>
      </w:divBdr>
      <w:divsChild>
        <w:div w:id="1023826220">
          <w:marLeft w:val="0"/>
          <w:marRight w:val="0"/>
          <w:marTop w:val="0"/>
          <w:marBottom w:val="0"/>
          <w:divBdr>
            <w:top w:val="none" w:sz="0" w:space="0" w:color="auto"/>
            <w:left w:val="none" w:sz="0" w:space="0" w:color="auto"/>
            <w:bottom w:val="none" w:sz="0" w:space="0" w:color="auto"/>
            <w:right w:val="none" w:sz="0" w:space="0" w:color="auto"/>
          </w:divBdr>
          <w:divsChild>
            <w:div w:id="568926491">
              <w:marLeft w:val="0"/>
              <w:marRight w:val="0"/>
              <w:marTop w:val="75"/>
              <w:marBottom w:val="75"/>
              <w:divBdr>
                <w:top w:val="none" w:sz="0" w:space="0" w:color="auto"/>
                <w:left w:val="none" w:sz="0" w:space="0" w:color="auto"/>
                <w:bottom w:val="none" w:sz="0" w:space="0" w:color="auto"/>
                <w:right w:val="none" w:sz="0" w:space="0" w:color="auto"/>
              </w:divBdr>
              <w:divsChild>
                <w:div w:id="940381833">
                  <w:marLeft w:val="0"/>
                  <w:marRight w:val="0"/>
                  <w:marTop w:val="75"/>
                  <w:marBottom w:val="75"/>
                  <w:divBdr>
                    <w:top w:val="none" w:sz="0" w:space="0" w:color="auto"/>
                    <w:left w:val="none" w:sz="0" w:space="0" w:color="auto"/>
                    <w:bottom w:val="none" w:sz="0" w:space="0" w:color="auto"/>
                    <w:right w:val="none" w:sz="0" w:space="0" w:color="auto"/>
                  </w:divBdr>
                  <w:divsChild>
                    <w:div w:id="828638990">
                      <w:marLeft w:val="0"/>
                      <w:marRight w:val="0"/>
                      <w:marTop w:val="0"/>
                      <w:marBottom w:val="0"/>
                      <w:divBdr>
                        <w:top w:val="none" w:sz="0" w:space="0" w:color="auto"/>
                        <w:left w:val="none" w:sz="0" w:space="0" w:color="auto"/>
                        <w:bottom w:val="none" w:sz="0" w:space="0" w:color="auto"/>
                        <w:right w:val="none" w:sz="0" w:space="0" w:color="auto"/>
                      </w:divBdr>
                    </w:div>
                  </w:divsChild>
                </w:div>
                <w:div w:id="138619217">
                  <w:marLeft w:val="0"/>
                  <w:marRight w:val="0"/>
                  <w:marTop w:val="75"/>
                  <w:marBottom w:val="75"/>
                  <w:divBdr>
                    <w:top w:val="none" w:sz="0" w:space="0" w:color="auto"/>
                    <w:left w:val="none" w:sz="0" w:space="0" w:color="auto"/>
                    <w:bottom w:val="none" w:sz="0" w:space="0" w:color="auto"/>
                    <w:right w:val="none" w:sz="0" w:space="0" w:color="auto"/>
                  </w:divBdr>
                  <w:divsChild>
                    <w:div w:id="5503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941070">
              <w:marLeft w:val="0"/>
              <w:marRight w:val="0"/>
              <w:marTop w:val="75"/>
              <w:marBottom w:val="75"/>
              <w:divBdr>
                <w:top w:val="none" w:sz="0" w:space="0" w:color="auto"/>
                <w:left w:val="none" w:sz="0" w:space="0" w:color="auto"/>
                <w:bottom w:val="none" w:sz="0" w:space="0" w:color="auto"/>
                <w:right w:val="none" w:sz="0" w:space="0" w:color="auto"/>
              </w:divBdr>
              <w:divsChild>
                <w:div w:id="187040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1695">
          <w:marLeft w:val="0"/>
          <w:marRight w:val="0"/>
          <w:marTop w:val="0"/>
          <w:marBottom w:val="0"/>
          <w:divBdr>
            <w:top w:val="none" w:sz="0" w:space="0" w:color="auto"/>
            <w:left w:val="none" w:sz="0" w:space="0" w:color="auto"/>
            <w:bottom w:val="none" w:sz="0" w:space="0" w:color="auto"/>
            <w:right w:val="none" w:sz="0" w:space="0" w:color="auto"/>
          </w:divBdr>
          <w:divsChild>
            <w:div w:id="591552827">
              <w:marLeft w:val="-195"/>
              <w:marRight w:val="-195"/>
              <w:marTop w:val="0"/>
              <w:marBottom w:val="180"/>
              <w:divBdr>
                <w:top w:val="none" w:sz="0" w:space="0" w:color="auto"/>
                <w:left w:val="none" w:sz="0" w:space="0" w:color="auto"/>
                <w:bottom w:val="none" w:sz="0" w:space="0" w:color="auto"/>
                <w:right w:val="none" w:sz="0" w:space="0" w:color="auto"/>
              </w:divBdr>
            </w:div>
          </w:divsChild>
        </w:div>
      </w:divsChild>
    </w:div>
    <w:div w:id="1642736227">
      <w:bodyDiv w:val="1"/>
      <w:marLeft w:val="0"/>
      <w:marRight w:val="0"/>
      <w:marTop w:val="0"/>
      <w:marBottom w:val="0"/>
      <w:divBdr>
        <w:top w:val="none" w:sz="0" w:space="0" w:color="auto"/>
        <w:left w:val="none" w:sz="0" w:space="0" w:color="auto"/>
        <w:bottom w:val="none" w:sz="0" w:space="0" w:color="auto"/>
        <w:right w:val="none" w:sz="0" w:space="0" w:color="auto"/>
      </w:divBdr>
      <w:divsChild>
        <w:div w:id="1570730223">
          <w:marLeft w:val="0"/>
          <w:marRight w:val="0"/>
          <w:marTop w:val="0"/>
          <w:marBottom w:val="0"/>
          <w:divBdr>
            <w:top w:val="none" w:sz="0" w:space="0" w:color="auto"/>
            <w:left w:val="none" w:sz="0" w:space="0" w:color="auto"/>
            <w:bottom w:val="none" w:sz="0" w:space="0" w:color="auto"/>
            <w:right w:val="none" w:sz="0" w:space="0" w:color="auto"/>
          </w:divBdr>
          <w:divsChild>
            <w:div w:id="1761365520">
              <w:marLeft w:val="0"/>
              <w:marRight w:val="0"/>
              <w:marTop w:val="75"/>
              <w:marBottom w:val="75"/>
              <w:divBdr>
                <w:top w:val="none" w:sz="0" w:space="0" w:color="auto"/>
                <w:left w:val="none" w:sz="0" w:space="0" w:color="auto"/>
                <w:bottom w:val="none" w:sz="0" w:space="0" w:color="auto"/>
                <w:right w:val="none" w:sz="0" w:space="0" w:color="auto"/>
              </w:divBdr>
              <w:divsChild>
                <w:div w:id="1952086750">
                  <w:marLeft w:val="0"/>
                  <w:marRight w:val="0"/>
                  <w:marTop w:val="75"/>
                  <w:marBottom w:val="75"/>
                  <w:divBdr>
                    <w:top w:val="none" w:sz="0" w:space="0" w:color="auto"/>
                    <w:left w:val="none" w:sz="0" w:space="0" w:color="auto"/>
                    <w:bottom w:val="none" w:sz="0" w:space="0" w:color="auto"/>
                    <w:right w:val="none" w:sz="0" w:space="0" w:color="auto"/>
                  </w:divBdr>
                  <w:divsChild>
                    <w:div w:id="2109428538">
                      <w:marLeft w:val="0"/>
                      <w:marRight w:val="0"/>
                      <w:marTop w:val="0"/>
                      <w:marBottom w:val="0"/>
                      <w:divBdr>
                        <w:top w:val="none" w:sz="0" w:space="0" w:color="auto"/>
                        <w:left w:val="none" w:sz="0" w:space="0" w:color="auto"/>
                        <w:bottom w:val="none" w:sz="0" w:space="0" w:color="auto"/>
                        <w:right w:val="none" w:sz="0" w:space="0" w:color="auto"/>
                      </w:divBdr>
                    </w:div>
                  </w:divsChild>
                </w:div>
                <w:div w:id="1627740853">
                  <w:marLeft w:val="0"/>
                  <w:marRight w:val="0"/>
                  <w:marTop w:val="75"/>
                  <w:marBottom w:val="75"/>
                  <w:divBdr>
                    <w:top w:val="none" w:sz="0" w:space="0" w:color="auto"/>
                    <w:left w:val="none" w:sz="0" w:space="0" w:color="auto"/>
                    <w:bottom w:val="none" w:sz="0" w:space="0" w:color="auto"/>
                    <w:right w:val="none" w:sz="0" w:space="0" w:color="auto"/>
                  </w:divBdr>
                  <w:divsChild>
                    <w:div w:id="88814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32273">
              <w:marLeft w:val="0"/>
              <w:marRight w:val="0"/>
              <w:marTop w:val="75"/>
              <w:marBottom w:val="75"/>
              <w:divBdr>
                <w:top w:val="none" w:sz="0" w:space="0" w:color="auto"/>
                <w:left w:val="none" w:sz="0" w:space="0" w:color="auto"/>
                <w:bottom w:val="none" w:sz="0" w:space="0" w:color="auto"/>
                <w:right w:val="none" w:sz="0" w:space="0" w:color="auto"/>
              </w:divBdr>
              <w:divsChild>
                <w:div w:id="6030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9608">
          <w:marLeft w:val="0"/>
          <w:marRight w:val="0"/>
          <w:marTop w:val="0"/>
          <w:marBottom w:val="0"/>
          <w:divBdr>
            <w:top w:val="none" w:sz="0" w:space="0" w:color="auto"/>
            <w:left w:val="none" w:sz="0" w:space="0" w:color="auto"/>
            <w:bottom w:val="none" w:sz="0" w:space="0" w:color="auto"/>
            <w:right w:val="none" w:sz="0" w:space="0" w:color="auto"/>
          </w:divBdr>
        </w:div>
        <w:div w:id="520633164">
          <w:marLeft w:val="0"/>
          <w:marRight w:val="0"/>
          <w:marTop w:val="0"/>
          <w:marBottom w:val="0"/>
          <w:divBdr>
            <w:top w:val="none" w:sz="0" w:space="0" w:color="auto"/>
            <w:left w:val="none" w:sz="0" w:space="0" w:color="auto"/>
            <w:bottom w:val="none" w:sz="0" w:space="0" w:color="auto"/>
            <w:right w:val="none" w:sz="0" w:space="0" w:color="auto"/>
          </w:divBdr>
          <w:divsChild>
            <w:div w:id="1790273114">
              <w:marLeft w:val="-195"/>
              <w:marRight w:val="-195"/>
              <w:marTop w:val="0"/>
              <w:marBottom w:val="180"/>
              <w:divBdr>
                <w:top w:val="none" w:sz="0" w:space="0" w:color="auto"/>
                <w:left w:val="none" w:sz="0" w:space="0" w:color="auto"/>
                <w:bottom w:val="none" w:sz="0" w:space="0" w:color="auto"/>
                <w:right w:val="none" w:sz="0" w:space="0" w:color="auto"/>
              </w:divBdr>
            </w:div>
          </w:divsChild>
        </w:div>
      </w:divsChild>
    </w:div>
    <w:div w:id="1755398087">
      <w:bodyDiv w:val="1"/>
      <w:marLeft w:val="0"/>
      <w:marRight w:val="0"/>
      <w:marTop w:val="0"/>
      <w:marBottom w:val="0"/>
      <w:divBdr>
        <w:top w:val="none" w:sz="0" w:space="0" w:color="auto"/>
        <w:left w:val="none" w:sz="0" w:space="0" w:color="auto"/>
        <w:bottom w:val="none" w:sz="0" w:space="0" w:color="auto"/>
        <w:right w:val="none" w:sz="0" w:space="0" w:color="auto"/>
      </w:divBdr>
      <w:divsChild>
        <w:div w:id="2006736865">
          <w:marLeft w:val="0"/>
          <w:marRight w:val="0"/>
          <w:marTop w:val="0"/>
          <w:marBottom w:val="0"/>
          <w:divBdr>
            <w:top w:val="none" w:sz="0" w:space="0" w:color="auto"/>
            <w:left w:val="none" w:sz="0" w:space="0" w:color="auto"/>
            <w:bottom w:val="none" w:sz="0" w:space="0" w:color="auto"/>
            <w:right w:val="none" w:sz="0" w:space="0" w:color="auto"/>
          </w:divBdr>
          <w:divsChild>
            <w:div w:id="697774757">
              <w:marLeft w:val="0"/>
              <w:marRight w:val="0"/>
              <w:marTop w:val="75"/>
              <w:marBottom w:val="75"/>
              <w:divBdr>
                <w:top w:val="none" w:sz="0" w:space="0" w:color="auto"/>
                <w:left w:val="none" w:sz="0" w:space="0" w:color="auto"/>
                <w:bottom w:val="none" w:sz="0" w:space="0" w:color="auto"/>
                <w:right w:val="none" w:sz="0" w:space="0" w:color="auto"/>
              </w:divBdr>
              <w:divsChild>
                <w:div w:id="364260788">
                  <w:marLeft w:val="0"/>
                  <w:marRight w:val="0"/>
                  <w:marTop w:val="75"/>
                  <w:marBottom w:val="75"/>
                  <w:divBdr>
                    <w:top w:val="none" w:sz="0" w:space="0" w:color="auto"/>
                    <w:left w:val="none" w:sz="0" w:space="0" w:color="auto"/>
                    <w:bottom w:val="none" w:sz="0" w:space="0" w:color="auto"/>
                    <w:right w:val="none" w:sz="0" w:space="0" w:color="auto"/>
                  </w:divBdr>
                  <w:divsChild>
                    <w:div w:id="927036575">
                      <w:marLeft w:val="0"/>
                      <w:marRight w:val="0"/>
                      <w:marTop w:val="0"/>
                      <w:marBottom w:val="0"/>
                      <w:divBdr>
                        <w:top w:val="none" w:sz="0" w:space="0" w:color="auto"/>
                        <w:left w:val="none" w:sz="0" w:space="0" w:color="auto"/>
                        <w:bottom w:val="none" w:sz="0" w:space="0" w:color="auto"/>
                        <w:right w:val="none" w:sz="0" w:space="0" w:color="auto"/>
                      </w:divBdr>
                    </w:div>
                  </w:divsChild>
                </w:div>
                <w:div w:id="500511684">
                  <w:marLeft w:val="0"/>
                  <w:marRight w:val="0"/>
                  <w:marTop w:val="75"/>
                  <w:marBottom w:val="75"/>
                  <w:divBdr>
                    <w:top w:val="none" w:sz="0" w:space="0" w:color="auto"/>
                    <w:left w:val="none" w:sz="0" w:space="0" w:color="auto"/>
                    <w:bottom w:val="none" w:sz="0" w:space="0" w:color="auto"/>
                    <w:right w:val="none" w:sz="0" w:space="0" w:color="auto"/>
                  </w:divBdr>
                  <w:divsChild>
                    <w:div w:id="1814172671">
                      <w:marLeft w:val="0"/>
                      <w:marRight w:val="0"/>
                      <w:marTop w:val="0"/>
                      <w:marBottom w:val="0"/>
                      <w:divBdr>
                        <w:top w:val="none" w:sz="0" w:space="0" w:color="auto"/>
                        <w:left w:val="none" w:sz="0" w:space="0" w:color="auto"/>
                        <w:bottom w:val="none" w:sz="0" w:space="0" w:color="auto"/>
                        <w:right w:val="none" w:sz="0" w:space="0" w:color="auto"/>
                      </w:divBdr>
                    </w:div>
                  </w:divsChild>
                </w:div>
                <w:div w:id="2077899241">
                  <w:marLeft w:val="0"/>
                  <w:marRight w:val="0"/>
                  <w:marTop w:val="75"/>
                  <w:marBottom w:val="75"/>
                  <w:divBdr>
                    <w:top w:val="none" w:sz="0" w:space="0" w:color="auto"/>
                    <w:left w:val="none" w:sz="0" w:space="0" w:color="auto"/>
                    <w:bottom w:val="none" w:sz="0" w:space="0" w:color="auto"/>
                    <w:right w:val="none" w:sz="0" w:space="0" w:color="auto"/>
                  </w:divBdr>
                  <w:divsChild>
                    <w:div w:id="213359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2274">
              <w:marLeft w:val="0"/>
              <w:marRight w:val="0"/>
              <w:marTop w:val="75"/>
              <w:marBottom w:val="75"/>
              <w:divBdr>
                <w:top w:val="none" w:sz="0" w:space="0" w:color="auto"/>
                <w:left w:val="none" w:sz="0" w:space="0" w:color="auto"/>
                <w:bottom w:val="none" w:sz="0" w:space="0" w:color="auto"/>
                <w:right w:val="none" w:sz="0" w:space="0" w:color="auto"/>
              </w:divBdr>
              <w:divsChild>
                <w:div w:id="14767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110409">
          <w:marLeft w:val="0"/>
          <w:marRight w:val="0"/>
          <w:marTop w:val="0"/>
          <w:marBottom w:val="0"/>
          <w:divBdr>
            <w:top w:val="none" w:sz="0" w:space="0" w:color="auto"/>
            <w:left w:val="none" w:sz="0" w:space="0" w:color="auto"/>
            <w:bottom w:val="none" w:sz="0" w:space="0" w:color="auto"/>
            <w:right w:val="none" w:sz="0" w:space="0" w:color="auto"/>
          </w:divBdr>
          <w:divsChild>
            <w:div w:id="1475491520">
              <w:marLeft w:val="-195"/>
              <w:marRight w:val="-195"/>
              <w:marTop w:val="0"/>
              <w:marBottom w:val="180"/>
              <w:divBdr>
                <w:top w:val="none" w:sz="0" w:space="0" w:color="auto"/>
                <w:left w:val="none" w:sz="0" w:space="0" w:color="auto"/>
                <w:bottom w:val="none" w:sz="0" w:space="0" w:color="auto"/>
                <w:right w:val="none" w:sz="0" w:space="0" w:color="auto"/>
              </w:divBdr>
            </w:div>
          </w:divsChild>
        </w:div>
      </w:divsChild>
    </w:div>
    <w:div w:id="1867213076">
      <w:bodyDiv w:val="1"/>
      <w:marLeft w:val="0"/>
      <w:marRight w:val="0"/>
      <w:marTop w:val="0"/>
      <w:marBottom w:val="0"/>
      <w:divBdr>
        <w:top w:val="none" w:sz="0" w:space="0" w:color="auto"/>
        <w:left w:val="none" w:sz="0" w:space="0" w:color="auto"/>
        <w:bottom w:val="none" w:sz="0" w:space="0" w:color="auto"/>
        <w:right w:val="none" w:sz="0" w:space="0" w:color="auto"/>
      </w:divBdr>
      <w:divsChild>
        <w:div w:id="1391340446">
          <w:marLeft w:val="0"/>
          <w:marRight w:val="0"/>
          <w:marTop w:val="0"/>
          <w:marBottom w:val="0"/>
          <w:divBdr>
            <w:top w:val="none" w:sz="0" w:space="0" w:color="auto"/>
            <w:left w:val="none" w:sz="0" w:space="0" w:color="auto"/>
            <w:bottom w:val="none" w:sz="0" w:space="0" w:color="auto"/>
            <w:right w:val="none" w:sz="0" w:space="0" w:color="auto"/>
          </w:divBdr>
          <w:divsChild>
            <w:div w:id="465241510">
              <w:marLeft w:val="0"/>
              <w:marRight w:val="0"/>
              <w:marTop w:val="75"/>
              <w:marBottom w:val="75"/>
              <w:divBdr>
                <w:top w:val="none" w:sz="0" w:space="0" w:color="auto"/>
                <w:left w:val="none" w:sz="0" w:space="0" w:color="auto"/>
                <w:bottom w:val="none" w:sz="0" w:space="0" w:color="auto"/>
                <w:right w:val="none" w:sz="0" w:space="0" w:color="auto"/>
              </w:divBdr>
              <w:divsChild>
                <w:div w:id="223609907">
                  <w:marLeft w:val="0"/>
                  <w:marRight w:val="0"/>
                  <w:marTop w:val="75"/>
                  <w:marBottom w:val="75"/>
                  <w:divBdr>
                    <w:top w:val="none" w:sz="0" w:space="0" w:color="auto"/>
                    <w:left w:val="none" w:sz="0" w:space="0" w:color="auto"/>
                    <w:bottom w:val="none" w:sz="0" w:space="0" w:color="auto"/>
                    <w:right w:val="none" w:sz="0" w:space="0" w:color="auto"/>
                  </w:divBdr>
                  <w:divsChild>
                    <w:div w:id="1015838865">
                      <w:marLeft w:val="0"/>
                      <w:marRight w:val="0"/>
                      <w:marTop w:val="0"/>
                      <w:marBottom w:val="0"/>
                      <w:divBdr>
                        <w:top w:val="none" w:sz="0" w:space="0" w:color="auto"/>
                        <w:left w:val="none" w:sz="0" w:space="0" w:color="auto"/>
                        <w:bottom w:val="none" w:sz="0" w:space="0" w:color="auto"/>
                        <w:right w:val="none" w:sz="0" w:space="0" w:color="auto"/>
                      </w:divBdr>
                    </w:div>
                  </w:divsChild>
                </w:div>
                <w:div w:id="224146929">
                  <w:marLeft w:val="0"/>
                  <w:marRight w:val="0"/>
                  <w:marTop w:val="75"/>
                  <w:marBottom w:val="75"/>
                  <w:divBdr>
                    <w:top w:val="none" w:sz="0" w:space="0" w:color="auto"/>
                    <w:left w:val="none" w:sz="0" w:space="0" w:color="auto"/>
                    <w:bottom w:val="none" w:sz="0" w:space="0" w:color="auto"/>
                    <w:right w:val="none" w:sz="0" w:space="0" w:color="auto"/>
                  </w:divBdr>
                  <w:divsChild>
                    <w:div w:id="886256584">
                      <w:marLeft w:val="0"/>
                      <w:marRight w:val="0"/>
                      <w:marTop w:val="0"/>
                      <w:marBottom w:val="0"/>
                      <w:divBdr>
                        <w:top w:val="none" w:sz="0" w:space="0" w:color="auto"/>
                        <w:left w:val="none" w:sz="0" w:space="0" w:color="auto"/>
                        <w:bottom w:val="none" w:sz="0" w:space="0" w:color="auto"/>
                        <w:right w:val="none" w:sz="0" w:space="0" w:color="auto"/>
                      </w:divBdr>
                    </w:div>
                  </w:divsChild>
                </w:div>
                <w:div w:id="1481730363">
                  <w:marLeft w:val="0"/>
                  <w:marRight w:val="0"/>
                  <w:marTop w:val="75"/>
                  <w:marBottom w:val="75"/>
                  <w:divBdr>
                    <w:top w:val="none" w:sz="0" w:space="0" w:color="auto"/>
                    <w:left w:val="none" w:sz="0" w:space="0" w:color="auto"/>
                    <w:bottom w:val="none" w:sz="0" w:space="0" w:color="auto"/>
                    <w:right w:val="none" w:sz="0" w:space="0" w:color="auto"/>
                  </w:divBdr>
                  <w:divsChild>
                    <w:div w:id="179104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749420">
              <w:marLeft w:val="0"/>
              <w:marRight w:val="0"/>
              <w:marTop w:val="75"/>
              <w:marBottom w:val="75"/>
              <w:divBdr>
                <w:top w:val="none" w:sz="0" w:space="0" w:color="auto"/>
                <w:left w:val="none" w:sz="0" w:space="0" w:color="auto"/>
                <w:bottom w:val="none" w:sz="0" w:space="0" w:color="auto"/>
                <w:right w:val="none" w:sz="0" w:space="0" w:color="auto"/>
              </w:divBdr>
              <w:divsChild>
                <w:div w:id="5457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893902">
          <w:marLeft w:val="0"/>
          <w:marRight w:val="0"/>
          <w:marTop w:val="0"/>
          <w:marBottom w:val="0"/>
          <w:divBdr>
            <w:top w:val="none" w:sz="0" w:space="0" w:color="auto"/>
            <w:left w:val="none" w:sz="0" w:space="0" w:color="auto"/>
            <w:bottom w:val="none" w:sz="0" w:space="0" w:color="auto"/>
            <w:right w:val="none" w:sz="0" w:space="0" w:color="auto"/>
          </w:divBdr>
          <w:divsChild>
            <w:div w:id="209656001">
              <w:marLeft w:val="-195"/>
              <w:marRight w:val="-195"/>
              <w:marTop w:val="0"/>
              <w:marBottom w:val="1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usexplorer.it/Giurisprudenza/GetDocumentiStessaClassificazione?classificazione=|40600120|&amp;idDatabank=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usexplorer.it/Giurisprudenza/GetDocumentiStessaClassificazione?classificazione=|53920972|&amp;idDatabank=0" TargetMode="External"/><Relationship Id="rId5" Type="http://schemas.openxmlformats.org/officeDocument/2006/relationships/hyperlink" Target="https://www.iusexplorer.it/Giurisprudenza/GetDocumentiStessaClassificazione?classificazione=|46120012|&amp;idDatabank=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dc:creator>
  <cp:keywords/>
  <dc:description/>
  <cp:lastModifiedBy>vincenzo</cp:lastModifiedBy>
  <cp:revision>2</cp:revision>
  <cp:lastPrinted>2018-10-03T05:33:00Z</cp:lastPrinted>
  <dcterms:created xsi:type="dcterms:W3CDTF">2018-10-03T05:37:00Z</dcterms:created>
  <dcterms:modified xsi:type="dcterms:W3CDTF">2018-10-03T05:37:00Z</dcterms:modified>
</cp:coreProperties>
</file>