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tblCellMar>
          <w:left w:w="0" w:type="dxa"/>
          <w:right w:w="0" w:type="dxa"/>
        </w:tblCellMar>
        <w:tblLook w:val="04A0"/>
      </w:tblPr>
      <w:tblGrid>
        <w:gridCol w:w="8365"/>
        <w:gridCol w:w="1080"/>
      </w:tblGrid>
      <w:tr w:rsidR="00DE62DB" w:rsidRPr="00DE62DB" w:rsidTr="00DE62DB">
        <w:trPr>
          <w:tblCellSpacing w:w="0" w:type="dxa"/>
        </w:trPr>
        <w:tc>
          <w:tcPr>
            <w:tcW w:w="0" w:type="auto"/>
            <w:vAlign w:val="center"/>
            <w:hideMark/>
          </w:tcPr>
          <w:p w:rsidR="00DE62DB" w:rsidRDefault="00DE62DB" w:rsidP="00DE62DB">
            <w:pPr>
              <w:spacing w:after="0" w:line="240" w:lineRule="auto"/>
              <w:rPr>
                <w:rFonts w:ascii="Times New Roman" w:eastAsia="Times New Roman" w:hAnsi="Times New Roman" w:cs="Times New Roman"/>
                <w:noProof/>
                <w:sz w:val="24"/>
                <w:szCs w:val="24"/>
                <w:lang w:eastAsia="it-IT"/>
              </w:rPr>
            </w:pPr>
          </w:p>
          <w:p w:rsidR="00DE62DB" w:rsidRDefault="00DE62DB" w:rsidP="00DE62DB">
            <w:pPr>
              <w:pStyle w:val="provvestremo"/>
            </w:pPr>
            <w:r>
              <w:rPr>
                <w:rStyle w:val="anchorantimarker"/>
              </w:rPr>
              <w:t xml:space="preserve">DECRETO LEGGE 14 dicembre 2018, n. 135 </w:t>
            </w:r>
            <w:r>
              <w:t xml:space="preserve">  </w:t>
            </w:r>
            <w:bookmarkStart w:id="0" w:name="1up"/>
            <w:r>
              <w:fldChar w:fldCharType="begin"/>
            </w:r>
            <w:r>
              <w:instrText xml:space="preserve"> HYPERLINK "http://pluris-cedam.utetgiuridica.it/intero_provvedimento.html" \l "1" </w:instrText>
            </w:r>
            <w:r>
              <w:fldChar w:fldCharType="separate"/>
            </w:r>
            <w:r>
              <w:rPr>
                <w:rStyle w:val="Collegamentoipertestuale"/>
              </w:rPr>
              <w:t>(1)</w:t>
            </w:r>
            <w:r>
              <w:fldChar w:fldCharType="end"/>
            </w:r>
            <w:bookmarkEnd w:id="0"/>
            <w:r>
              <w:t xml:space="preserve"> </w:t>
            </w:r>
            <w:bookmarkStart w:id="1" w:name="2up"/>
            <w:r>
              <w:fldChar w:fldCharType="begin"/>
            </w:r>
            <w:r>
              <w:instrText xml:space="preserve"> HYPERLINK "http://pluris-cedam.utetgiuridica.it/intero_provvedimento.html" \l "2" </w:instrText>
            </w:r>
            <w:r>
              <w:fldChar w:fldCharType="separate"/>
            </w:r>
            <w:r>
              <w:rPr>
                <w:rStyle w:val="Collegamentoipertestuale"/>
              </w:rPr>
              <w:t>(2)</w:t>
            </w:r>
            <w:r>
              <w:fldChar w:fldCharType="end"/>
            </w:r>
            <w:bookmarkEnd w:id="1"/>
            <w:r>
              <w:t>.</w:t>
            </w:r>
          </w:p>
          <w:p w:rsidR="00DE62DB" w:rsidRDefault="00DE62DB" w:rsidP="00DE62DB">
            <w:pPr>
              <w:pStyle w:val="provvr0"/>
            </w:pPr>
            <w:r>
              <w:rPr>
                <w:b/>
                <w:bCs/>
              </w:rPr>
              <w:t>Disposizioni urgenti in materia di sostegno e semplificazione per le imprese e per la pubblica amministrazione.</w:t>
            </w:r>
          </w:p>
          <w:p w:rsidR="00DE62DB" w:rsidRDefault="00DE62DB" w:rsidP="00DE62DB">
            <w:pPr>
              <w:pStyle w:val="sep-testo-note"/>
            </w:pPr>
            <w:r>
              <w:t xml:space="preserve">  </w:t>
            </w:r>
          </w:p>
          <w:bookmarkStart w:id="2" w:name="1"/>
          <w:p w:rsidR="00DE62DB" w:rsidRDefault="00DE62DB" w:rsidP="00DE62DB">
            <w:pPr>
              <w:pStyle w:val="provvnota"/>
            </w:pPr>
            <w:r>
              <w:fldChar w:fldCharType="begin"/>
            </w:r>
            <w:r>
              <w:instrText xml:space="preserve"> HYPERLINK "http://pluris-cedam.utetgiuridica.it/intero_provvedimento.html" \l "1up" </w:instrText>
            </w:r>
            <w:r>
              <w:fldChar w:fldCharType="separate"/>
            </w:r>
            <w:r>
              <w:rPr>
                <w:rStyle w:val="Collegamentoipertestuale"/>
              </w:rPr>
              <w:t>(1)</w:t>
            </w:r>
            <w:r>
              <w:fldChar w:fldCharType="end"/>
            </w:r>
            <w:bookmarkEnd w:id="2"/>
            <w:r>
              <w:t xml:space="preserve"> Pubblicato nella </w:t>
            </w:r>
            <w:proofErr w:type="spellStart"/>
            <w:r>
              <w:t>Gazz</w:t>
            </w:r>
            <w:proofErr w:type="spellEnd"/>
            <w:r>
              <w:t>. Uff. 14 dicembre 2018, n. 290.</w:t>
            </w:r>
          </w:p>
          <w:bookmarkStart w:id="3" w:name="2"/>
          <w:p w:rsidR="00DE62DB" w:rsidRDefault="00DE62DB" w:rsidP="00DE62DB">
            <w:pPr>
              <w:pStyle w:val="provvnota"/>
            </w:pPr>
            <w:r>
              <w:fldChar w:fldCharType="begin"/>
            </w:r>
            <w:r>
              <w:instrText xml:space="preserve"> HYPERLINK "http://pluris-cedam.utetgiuridica.it/intero_provvedimento.html" \l "2up" </w:instrText>
            </w:r>
            <w:r>
              <w:fldChar w:fldCharType="separate"/>
            </w:r>
            <w:r>
              <w:rPr>
                <w:rStyle w:val="Collegamentoipertestuale"/>
              </w:rPr>
              <w:t>(2)</w:t>
            </w:r>
            <w:r>
              <w:fldChar w:fldCharType="end"/>
            </w:r>
            <w:bookmarkEnd w:id="3"/>
            <w:r>
              <w:t xml:space="preserve"> Convertito in legge, con modificazioni, dall’ </w:t>
            </w:r>
            <w:hyperlink r:id="rId4" w:history="1">
              <w:r>
                <w:rPr>
                  <w:rStyle w:val="linkneltesto"/>
                  <w:color w:val="0000FF"/>
                  <w:u w:val="single"/>
                </w:rPr>
                <w:t>art. 1, comma 1, L. 11 febbraio 2019, n. 12</w:t>
              </w:r>
            </w:hyperlink>
            <w:r>
              <w:t>.</w:t>
            </w:r>
          </w:p>
          <w:p w:rsidR="00DE62DB" w:rsidRDefault="00DE62DB" w:rsidP="00DE62DB">
            <w:pPr>
              <w:pStyle w:val="NormaleWeb"/>
            </w:pPr>
            <w:r>
              <w:rPr>
                <w:rStyle w:val="provvnumart"/>
              </w:rPr>
              <w:t>Art. 8-ter.</w:t>
            </w:r>
            <w:r>
              <w:t xml:space="preserve">  </w:t>
            </w:r>
            <w:r>
              <w:rPr>
                <w:rStyle w:val="provvrubrica"/>
              </w:rPr>
              <w:t xml:space="preserve">Tecnologie basate su registri distribuiti e </w:t>
            </w:r>
            <w:proofErr w:type="spellStart"/>
            <w:r>
              <w:rPr>
                <w:rStyle w:val="provvrubrica"/>
              </w:rPr>
              <w:t>smart</w:t>
            </w:r>
            <w:proofErr w:type="spellEnd"/>
            <w:r>
              <w:rPr>
                <w:rStyle w:val="provvrubrica"/>
              </w:rPr>
              <w:t xml:space="preserve"> </w:t>
            </w:r>
            <w:proofErr w:type="spellStart"/>
            <w:r>
              <w:rPr>
                <w:rStyle w:val="provvrubrica"/>
              </w:rPr>
              <w:t>contract</w:t>
            </w:r>
            <w:proofErr w:type="spellEnd"/>
            <w:r>
              <w:rPr>
                <w:rStyle w:val="provvrubrica"/>
              </w:rPr>
              <w:t xml:space="preserve"> </w:t>
            </w:r>
            <w:bookmarkStart w:id="4" w:name="19up"/>
            <w:r>
              <w:rPr>
                <w:rStyle w:val="provvrubrica"/>
              </w:rPr>
              <w:fldChar w:fldCharType="begin"/>
            </w:r>
            <w:r>
              <w:rPr>
                <w:rStyle w:val="provvrubrica"/>
              </w:rPr>
              <w:instrText xml:space="preserve"> HYPERLINK "http://pluris-cedam.utetgiuridica.it/intero_provvedimento.html" \l "19" </w:instrText>
            </w:r>
            <w:r>
              <w:rPr>
                <w:rStyle w:val="provvrubrica"/>
              </w:rPr>
              <w:fldChar w:fldCharType="separate"/>
            </w:r>
            <w:r>
              <w:rPr>
                <w:rStyle w:val="Collegamentoipertestuale"/>
              </w:rPr>
              <w:t>(19)</w:t>
            </w:r>
            <w:r>
              <w:rPr>
                <w:rStyle w:val="provvrubrica"/>
              </w:rPr>
              <w:fldChar w:fldCharType="end"/>
            </w:r>
            <w:bookmarkEnd w:id="4"/>
          </w:p>
          <w:p w:rsidR="00DE62DB" w:rsidRDefault="00DE62DB" w:rsidP="00DE62DB">
            <w:pPr>
              <w:pStyle w:val="provvr0"/>
            </w:pPr>
            <w:r>
              <w:rPr>
                <w:rStyle w:val="provvnumcomma"/>
              </w:rPr>
              <w:t xml:space="preserve">1. </w:t>
            </w:r>
            <w:r>
              <w:t>  Si definiscono «tecnologie basate su registri distribuiti» le tecnologie e i protocolli informatici che usano un registro condiviso, distribuito, replicabile, accessibile simultaneamente, architetturalmente decentralizzato su basi crittografiche, tali da consentire la registrazione, la convalida, l'aggiornamento e l'archiviazione di dati sia in chiaro che ulteriormente protetti da crittografia verificabili da ciascun partecipante, non alterabili e non modificabili.</w:t>
            </w:r>
          </w:p>
          <w:p w:rsidR="00DE62DB" w:rsidRDefault="00DE62DB" w:rsidP="00DE62DB">
            <w:pPr>
              <w:pStyle w:val="provvr0"/>
            </w:pPr>
            <w:r>
              <w:rPr>
                <w:rStyle w:val="provvnumcomma"/>
              </w:rPr>
              <w:t xml:space="preserve">2. </w:t>
            </w:r>
            <w:r>
              <w:t xml:space="preserve">  Si definisce « </w:t>
            </w:r>
            <w:proofErr w:type="spellStart"/>
            <w:r>
              <w:rPr>
                <w:i/>
                <w:iCs/>
              </w:rPr>
              <w:t>smart</w:t>
            </w:r>
            <w:proofErr w:type="spellEnd"/>
            <w:r>
              <w:rPr>
                <w:i/>
                <w:iCs/>
              </w:rPr>
              <w:t xml:space="preserve"> </w:t>
            </w:r>
            <w:proofErr w:type="spellStart"/>
            <w:r>
              <w:rPr>
                <w:i/>
                <w:iCs/>
              </w:rPr>
              <w:t>contract</w:t>
            </w:r>
            <w:proofErr w:type="spellEnd"/>
            <w:r>
              <w:t xml:space="preserve">» un programma per elaboratore che opera su tecnologie basate su registri distribuiti e la cui esecuzione vincola automaticamente due o più parti sulla base di effetti predefiniti dalle stesse. Gli </w:t>
            </w:r>
            <w:proofErr w:type="spellStart"/>
            <w:r>
              <w:rPr>
                <w:i/>
                <w:iCs/>
              </w:rPr>
              <w:t>smart</w:t>
            </w:r>
            <w:proofErr w:type="spellEnd"/>
            <w:r>
              <w:rPr>
                <w:i/>
                <w:iCs/>
              </w:rPr>
              <w:t xml:space="preserve"> </w:t>
            </w:r>
            <w:proofErr w:type="spellStart"/>
            <w:r>
              <w:rPr>
                <w:i/>
                <w:iCs/>
              </w:rPr>
              <w:t>contract</w:t>
            </w:r>
            <w:proofErr w:type="spellEnd"/>
            <w:r>
              <w:t xml:space="preserve"> soddisfano il requisito della forma scritta previa identificazione informatica delle parti interessate, attraverso un processo avente i requisiti fissati dall'Agenzia per l'Italia digitale con linee guida da adottare entro novanta giorni dalla data di entrata in vigore della legge di conversione del presente decreto.</w:t>
            </w:r>
          </w:p>
          <w:p w:rsidR="00DE62DB" w:rsidRDefault="00DE62DB" w:rsidP="00DE62DB">
            <w:pPr>
              <w:pStyle w:val="provvr0"/>
            </w:pPr>
            <w:r>
              <w:rPr>
                <w:rStyle w:val="provvnumcomma"/>
              </w:rPr>
              <w:t xml:space="preserve">3. </w:t>
            </w:r>
            <w:r>
              <w:t>  La memorizzazione di un documento informatico attraverso l'uso di tecnologie basate su registri distribuiti produce gli effetti giuridici della validazione temporale elettronica di cui all'</w:t>
            </w:r>
            <w:hyperlink r:id="rId5" w:history="1">
              <w:r>
                <w:rPr>
                  <w:rStyle w:val="linkneltesto"/>
                  <w:color w:val="0000FF"/>
                  <w:u w:val="single"/>
                </w:rPr>
                <w:t>articolo 41 del regolamento (UE) n. 910/2014 del Parlamento europeo e del Consiglio, del 23 luglio 2014</w:t>
              </w:r>
            </w:hyperlink>
            <w:r>
              <w:t>.</w:t>
            </w:r>
          </w:p>
          <w:p w:rsidR="00DE62DB" w:rsidRDefault="00DE62DB" w:rsidP="00DE62DB">
            <w:pPr>
              <w:pStyle w:val="provvr0"/>
            </w:pPr>
            <w:r>
              <w:rPr>
                <w:rStyle w:val="provvnumcomma"/>
              </w:rPr>
              <w:t xml:space="preserve">4. </w:t>
            </w:r>
            <w:r>
              <w:t>  Entro novanta giorni dalla data di entrata in vigore della legge di conversione del presente decreto, l'Agenzia per l'Italia digitale individua gli standard tecnici che le tecnologie basate su registri distribuiti debbono possedere ai fini della produzione degli effetti di cui al comma 3.</w:t>
            </w:r>
          </w:p>
          <w:p w:rsidR="00DE62DB" w:rsidRDefault="00DE62DB" w:rsidP="00DE62DB">
            <w:pPr>
              <w:pStyle w:val="sep-testo-note"/>
            </w:pPr>
            <w:r>
              <w:t xml:space="preserve">  </w:t>
            </w:r>
          </w:p>
          <w:bookmarkStart w:id="5" w:name="19"/>
          <w:p w:rsidR="00DE62DB" w:rsidRDefault="00DE62DB" w:rsidP="00DE62DB">
            <w:pPr>
              <w:pStyle w:val="provvnota"/>
            </w:pPr>
            <w:r>
              <w:fldChar w:fldCharType="begin"/>
            </w:r>
            <w:r>
              <w:instrText xml:space="preserve"> HYPERLINK "http://pluris-cedam.utetgiuridica.it/intero_provvedimento.html" \l "19up" </w:instrText>
            </w:r>
            <w:r>
              <w:fldChar w:fldCharType="separate"/>
            </w:r>
            <w:r>
              <w:rPr>
                <w:rStyle w:val="Collegamentoipertestuale"/>
              </w:rPr>
              <w:t>(19)</w:t>
            </w:r>
            <w:r>
              <w:fldChar w:fldCharType="end"/>
            </w:r>
            <w:bookmarkEnd w:id="5"/>
            <w:r>
              <w:t xml:space="preserve"> Articolo inserito dalla </w:t>
            </w:r>
            <w:hyperlink r:id="rId6" w:history="1">
              <w:r>
                <w:rPr>
                  <w:rStyle w:val="linkneltesto"/>
                  <w:color w:val="0000FF"/>
                  <w:u w:val="single"/>
                </w:rPr>
                <w:t>legge di conversione 11 febbraio 2019, n. 12</w:t>
              </w:r>
            </w:hyperlink>
            <w:r>
              <w:t>.</w:t>
            </w:r>
          </w:p>
          <w:p w:rsidR="00DE62DB" w:rsidRDefault="00DE62DB" w:rsidP="00DE62DB">
            <w:pPr>
              <w:spacing w:after="0" w:line="240" w:lineRule="auto"/>
              <w:rPr>
                <w:rFonts w:ascii="Times New Roman" w:eastAsia="Times New Roman" w:hAnsi="Times New Roman" w:cs="Times New Roman"/>
                <w:noProof/>
                <w:sz w:val="24"/>
                <w:szCs w:val="24"/>
                <w:lang w:eastAsia="it-IT"/>
              </w:rPr>
            </w:pPr>
          </w:p>
          <w:p w:rsidR="00DE62DB" w:rsidRDefault="00DE62DB" w:rsidP="00DE62DB">
            <w:pPr>
              <w:spacing w:after="0" w:line="240" w:lineRule="auto"/>
              <w:rPr>
                <w:rFonts w:ascii="Times New Roman" w:eastAsia="Times New Roman" w:hAnsi="Times New Roman" w:cs="Times New Roman"/>
                <w:noProof/>
                <w:sz w:val="24"/>
                <w:szCs w:val="24"/>
                <w:lang w:eastAsia="it-IT"/>
              </w:rPr>
            </w:pPr>
          </w:p>
          <w:p w:rsidR="00DE62DB" w:rsidRDefault="00DE62DB" w:rsidP="00DE62DB">
            <w:pPr>
              <w:spacing w:after="0" w:line="240" w:lineRule="auto"/>
              <w:rPr>
                <w:rFonts w:ascii="Times New Roman" w:eastAsia="Times New Roman" w:hAnsi="Times New Roman" w:cs="Times New Roman"/>
                <w:noProof/>
                <w:sz w:val="24"/>
                <w:szCs w:val="24"/>
                <w:lang w:eastAsia="it-IT"/>
              </w:rPr>
            </w:pPr>
          </w:p>
          <w:p w:rsidR="00DE62DB" w:rsidRDefault="00DE62DB" w:rsidP="00DE62DB">
            <w:pPr>
              <w:spacing w:after="0" w:line="240" w:lineRule="auto"/>
              <w:rPr>
                <w:rFonts w:ascii="Times New Roman" w:eastAsia="Times New Roman" w:hAnsi="Times New Roman" w:cs="Times New Roman"/>
                <w:noProof/>
                <w:sz w:val="24"/>
                <w:szCs w:val="24"/>
                <w:lang w:eastAsia="it-IT"/>
              </w:rPr>
            </w:pPr>
          </w:p>
          <w:p w:rsidR="00DE62DB" w:rsidRDefault="00DE62DB" w:rsidP="00DE62DB">
            <w:pPr>
              <w:spacing w:after="0" w:line="240" w:lineRule="auto"/>
              <w:rPr>
                <w:rFonts w:ascii="Times New Roman" w:eastAsia="Times New Roman" w:hAnsi="Times New Roman" w:cs="Times New Roman"/>
                <w:noProof/>
                <w:sz w:val="24"/>
                <w:szCs w:val="24"/>
                <w:lang w:eastAsia="it-IT"/>
              </w:rPr>
            </w:pPr>
          </w:p>
          <w:p w:rsidR="00DE62DB" w:rsidRPr="00DE62DB" w:rsidRDefault="00DE62DB" w:rsidP="00DE62DB">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DE62DB" w:rsidRPr="00DE62DB" w:rsidRDefault="00DE62DB" w:rsidP="00DE62DB">
            <w:pPr>
              <w:spacing w:after="0" w:line="240" w:lineRule="auto"/>
              <w:jc w:val="right"/>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 xml:space="preserve">Quotidiano </w:t>
            </w:r>
          </w:p>
        </w:tc>
      </w:tr>
      <w:tr w:rsidR="00DE62DB" w:rsidRPr="00DE62DB" w:rsidTr="00DE62DB">
        <w:trPr>
          <w:tblCellSpacing w:w="0" w:type="dxa"/>
        </w:trPr>
        <w:tc>
          <w:tcPr>
            <w:tcW w:w="0" w:type="auto"/>
            <w:vAlign w:val="center"/>
            <w:hideMark/>
          </w:tcPr>
          <w:p w:rsidR="00DE62DB" w:rsidRPr="00DE62DB" w:rsidRDefault="00DE62DB" w:rsidP="00DE62DB">
            <w:pPr>
              <w:spacing w:after="0"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lastRenderedPageBreak/>
              <w:t xml:space="preserve">WEB &amp; TECH » </w:t>
            </w:r>
            <w:proofErr w:type="spellStart"/>
            <w:r w:rsidRPr="00DE62DB">
              <w:rPr>
                <w:rFonts w:ascii="Times New Roman" w:eastAsia="Times New Roman" w:hAnsi="Times New Roman" w:cs="Times New Roman"/>
                <w:sz w:val="24"/>
                <w:szCs w:val="24"/>
                <w:lang w:eastAsia="it-IT"/>
              </w:rPr>
              <w:t>Blockchain</w:t>
            </w:r>
            <w:proofErr w:type="spellEnd"/>
            <w:r w:rsidRPr="00DE62DB">
              <w:rPr>
                <w:rFonts w:ascii="Times New Roman" w:eastAsia="Times New Roman" w:hAnsi="Times New Roman" w:cs="Times New Roman"/>
                <w:sz w:val="24"/>
                <w:szCs w:val="24"/>
                <w:lang w:eastAsia="it-IT"/>
              </w:rPr>
              <w:t xml:space="preserve"> e </w:t>
            </w:r>
            <w:proofErr w:type="spellStart"/>
            <w:r w:rsidRPr="00DE62DB">
              <w:rPr>
                <w:rFonts w:ascii="Times New Roman" w:eastAsia="Times New Roman" w:hAnsi="Times New Roman" w:cs="Times New Roman"/>
                <w:sz w:val="24"/>
                <w:szCs w:val="24"/>
                <w:lang w:eastAsia="it-IT"/>
              </w:rPr>
              <w:t>smart</w:t>
            </w:r>
            <w:proofErr w:type="spellEnd"/>
            <w:r w:rsidRPr="00DE62DB">
              <w:rPr>
                <w:rFonts w:ascii="Times New Roman" w:eastAsia="Times New Roman" w:hAnsi="Times New Roman" w:cs="Times New Roman"/>
                <w:sz w:val="24"/>
                <w:szCs w:val="24"/>
                <w:lang w:eastAsia="it-IT"/>
              </w:rPr>
              <w:t xml:space="preserve"> </w:t>
            </w:r>
            <w:proofErr w:type="spellStart"/>
            <w:r w:rsidRPr="00DE62DB">
              <w:rPr>
                <w:rFonts w:ascii="Times New Roman" w:eastAsia="Times New Roman" w:hAnsi="Times New Roman" w:cs="Times New Roman"/>
                <w:sz w:val="24"/>
                <w:szCs w:val="24"/>
                <w:lang w:eastAsia="it-IT"/>
              </w:rPr>
              <w:t>contract</w:t>
            </w:r>
            <w:proofErr w:type="spellEnd"/>
            <w:r w:rsidRPr="00DE62DB">
              <w:rPr>
                <w:rFonts w:ascii="Times New Roman" w:eastAsia="Times New Roman" w:hAnsi="Times New Roman" w:cs="Times New Roman"/>
                <w:sz w:val="24"/>
                <w:szCs w:val="24"/>
                <w:lang w:eastAsia="it-IT"/>
              </w:rPr>
              <w:t xml:space="preserve"> </w:t>
            </w:r>
          </w:p>
        </w:tc>
        <w:tc>
          <w:tcPr>
            <w:tcW w:w="0" w:type="auto"/>
            <w:vAlign w:val="center"/>
            <w:hideMark/>
          </w:tcPr>
          <w:p w:rsidR="00DE62DB" w:rsidRPr="00DE62DB" w:rsidRDefault="00DE62DB" w:rsidP="00DE62DB">
            <w:pPr>
              <w:spacing w:after="0" w:line="240" w:lineRule="auto"/>
              <w:jc w:val="right"/>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 xml:space="preserve">26-2-2019 </w:t>
            </w:r>
          </w:p>
        </w:tc>
      </w:tr>
    </w:tbl>
    <w:p w:rsidR="00DE62DB" w:rsidRPr="00DE62DB" w:rsidRDefault="00DE62DB" w:rsidP="00DE62DB">
      <w:pPr>
        <w:spacing w:after="0" w:line="240" w:lineRule="auto"/>
        <w:rPr>
          <w:rFonts w:ascii="Times New Roman" w:eastAsia="Times New Roman" w:hAnsi="Times New Roman" w:cs="Times New Roman"/>
          <w:sz w:val="24"/>
          <w:szCs w:val="24"/>
          <w:lang w:eastAsia="it-IT"/>
        </w:rPr>
      </w:pPr>
      <w:proofErr w:type="spellStart"/>
      <w:r w:rsidRPr="00DE62DB">
        <w:rPr>
          <w:rFonts w:ascii="Times New Roman" w:eastAsia="Times New Roman" w:hAnsi="Times New Roman" w:cs="Times New Roman"/>
          <w:sz w:val="24"/>
          <w:szCs w:val="24"/>
          <w:lang w:eastAsia="it-IT"/>
        </w:rPr>
        <w:t>Blockchain</w:t>
      </w:r>
      <w:proofErr w:type="spellEnd"/>
      <w:r w:rsidRPr="00DE62DB">
        <w:rPr>
          <w:rFonts w:ascii="Times New Roman" w:eastAsia="Times New Roman" w:hAnsi="Times New Roman" w:cs="Times New Roman"/>
          <w:sz w:val="24"/>
          <w:szCs w:val="24"/>
          <w:lang w:eastAsia="it-IT"/>
        </w:rPr>
        <w:t xml:space="preserve"> e </w:t>
      </w:r>
      <w:proofErr w:type="spellStart"/>
      <w:r w:rsidRPr="00DE62DB">
        <w:rPr>
          <w:rFonts w:ascii="Times New Roman" w:eastAsia="Times New Roman" w:hAnsi="Times New Roman" w:cs="Times New Roman"/>
          <w:sz w:val="24"/>
          <w:szCs w:val="24"/>
          <w:lang w:eastAsia="it-IT"/>
        </w:rPr>
        <w:t>smart</w:t>
      </w:r>
      <w:proofErr w:type="spellEnd"/>
      <w:r w:rsidRPr="00DE62DB">
        <w:rPr>
          <w:rFonts w:ascii="Times New Roman" w:eastAsia="Times New Roman" w:hAnsi="Times New Roman" w:cs="Times New Roman"/>
          <w:sz w:val="24"/>
          <w:szCs w:val="24"/>
          <w:lang w:eastAsia="it-IT"/>
        </w:rPr>
        <w:t xml:space="preserve"> </w:t>
      </w:r>
      <w:proofErr w:type="spellStart"/>
      <w:r w:rsidRPr="00DE62DB">
        <w:rPr>
          <w:rFonts w:ascii="Times New Roman" w:eastAsia="Times New Roman" w:hAnsi="Times New Roman" w:cs="Times New Roman"/>
          <w:sz w:val="24"/>
          <w:szCs w:val="24"/>
          <w:lang w:eastAsia="it-IT"/>
        </w:rPr>
        <w:t>contract</w:t>
      </w:r>
      <w:proofErr w:type="spellEnd"/>
      <w:r w:rsidRPr="00DE62DB">
        <w:rPr>
          <w:rFonts w:ascii="Times New Roman" w:eastAsia="Times New Roman" w:hAnsi="Times New Roman" w:cs="Times New Roman"/>
          <w:sz w:val="24"/>
          <w:szCs w:val="24"/>
          <w:lang w:eastAsia="it-IT"/>
        </w:rPr>
        <w:t>: le novità previste dal Decreto semplificazioni</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 xml:space="preserve">L’articolo 8-ter del Decreto Semplificazioni (D.L. 14 dicembre 2018, n. 135, convertito in legge con L. 11 febbraio 2019, n. 12) rappresenta un passo importante per la disciplina degli effetti giuridici connessi all’utilizzo della tecnologia </w:t>
      </w:r>
      <w:proofErr w:type="spellStart"/>
      <w:r w:rsidRPr="00DE62DB">
        <w:rPr>
          <w:rFonts w:ascii="Times New Roman" w:eastAsia="Times New Roman" w:hAnsi="Times New Roman" w:cs="Times New Roman"/>
          <w:sz w:val="24"/>
          <w:szCs w:val="24"/>
          <w:lang w:eastAsia="it-IT"/>
        </w:rPr>
        <w:t>blockchain</w:t>
      </w:r>
      <w:proofErr w:type="spellEnd"/>
      <w:r w:rsidRPr="00DE62DB">
        <w:rPr>
          <w:rFonts w:ascii="Times New Roman" w:eastAsia="Times New Roman" w:hAnsi="Times New Roman" w:cs="Times New Roman"/>
          <w:sz w:val="24"/>
          <w:szCs w:val="24"/>
          <w:lang w:eastAsia="it-IT"/>
        </w:rPr>
        <w:t xml:space="preserve"> e degli </w:t>
      </w:r>
      <w:proofErr w:type="spellStart"/>
      <w:r w:rsidRPr="00DE62DB">
        <w:rPr>
          <w:rFonts w:ascii="Times New Roman" w:eastAsia="Times New Roman" w:hAnsi="Times New Roman" w:cs="Times New Roman"/>
          <w:sz w:val="24"/>
          <w:szCs w:val="24"/>
          <w:lang w:eastAsia="it-IT"/>
        </w:rPr>
        <w:t>smart</w:t>
      </w:r>
      <w:proofErr w:type="spellEnd"/>
      <w:r w:rsidRPr="00DE62DB">
        <w:rPr>
          <w:rFonts w:ascii="Times New Roman" w:eastAsia="Times New Roman" w:hAnsi="Times New Roman" w:cs="Times New Roman"/>
          <w:sz w:val="24"/>
          <w:szCs w:val="24"/>
          <w:lang w:eastAsia="it-IT"/>
        </w:rPr>
        <w:t xml:space="preserve"> </w:t>
      </w:r>
      <w:proofErr w:type="spellStart"/>
      <w:r w:rsidRPr="00DE62DB">
        <w:rPr>
          <w:rFonts w:ascii="Times New Roman" w:eastAsia="Times New Roman" w:hAnsi="Times New Roman" w:cs="Times New Roman"/>
          <w:sz w:val="24"/>
          <w:szCs w:val="24"/>
          <w:lang w:eastAsia="it-IT"/>
        </w:rPr>
        <w:t>contract</w:t>
      </w:r>
      <w:proofErr w:type="spellEnd"/>
      <w:r w:rsidRPr="00DE62DB">
        <w:rPr>
          <w:rFonts w:ascii="Times New Roman" w:eastAsia="Times New Roman" w:hAnsi="Times New Roman" w:cs="Times New Roman"/>
          <w:sz w:val="24"/>
          <w:szCs w:val="24"/>
          <w:lang w:eastAsia="it-IT"/>
        </w:rPr>
        <w:t>, pur lasciando spazio ad alcuni dubbi interpretativi che potranno essere parzialmente risolti in sede di predisposizione, da parte dell’</w:t>
      </w:r>
      <w:proofErr w:type="spellStart"/>
      <w:r w:rsidRPr="00DE62DB">
        <w:rPr>
          <w:rFonts w:ascii="Times New Roman" w:eastAsia="Times New Roman" w:hAnsi="Times New Roman" w:cs="Times New Roman"/>
          <w:sz w:val="24"/>
          <w:szCs w:val="24"/>
          <w:lang w:eastAsia="it-IT"/>
        </w:rPr>
        <w:t>AgID</w:t>
      </w:r>
      <w:proofErr w:type="spellEnd"/>
      <w:r w:rsidRPr="00DE62DB">
        <w:rPr>
          <w:rFonts w:ascii="Times New Roman" w:eastAsia="Times New Roman" w:hAnsi="Times New Roman" w:cs="Times New Roman"/>
          <w:sz w:val="24"/>
          <w:szCs w:val="24"/>
          <w:lang w:eastAsia="it-IT"/>
        </w:rPr>
        <w:t>, delle linee guida previste dalla normativa medesima.</w:t>
      </w:r>
    </w:p>
    <w:p w:rsidR="00DE62DB" w:rsidRPr="00DE62DB" w:rsidRDefault="00DE62DB" w:rsidP="00DE62DB">
      <w:pPr>
        <w:spacing w:after="0"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 xml:space="preserve">di Marco Galli - Senior Associate, studio legale </w:t>
      </w:r>
      <w:proofErr w:type="spellStart"/>
      <w:r w:rsidRPr="00DE62DB">
        <w:rPr>
          <w:rFonts w:ascii="Times New Roman" w:eastAsia="Times New Roman" w:hAnsi="Times New Roman" w:cs="Times New Roman"/>
          <w:sz w:val="24"/>
          <w:szCs w:val="24"/>
          <w:lang w:eastAsia="it-IT"/>
        </w:rPr>
        <w:t>Gattai</w:t>
      </w:r>
      <w:proofErr w:type="spellEnd"/>
      <w:r w:rsidRPr="00DE62DB">
        <w:rPr>
          <w:rFonts w:ascii="Times New Roman" w:eastAsia="Times New Roman" w:hAnsi="Times New Roman" w:cs="Times New Roman"/>
          <w:sz w:val="24"/>
          <w:szCs w:val="24"/>
          <w:lang w:eastAsia="it-IT"/>
        </w:rPr>
        <w:t xml:space="preserve"> Minoli </w:t>
      </w:r>
      <w:proofErr w:type="spellStart"/>
      <w:r w:rsidRPr="00DE62DB">
        <w:rPr>
          <w:rFonts w:ascii="Times New Roman" w:eastAsia="Times New Roman" w:hAnsi="Times New Roman" w:cs="Times New Roman"/>
          <w:sz w:val="24"/>
          <w:szCs w:val="24"/>
          <w:lang w:eastAsia="it-IT"/>
        </w:rPr>
        <w:t>Agostinelli</w:t>
      </w:r>
      <w:proofErr w:type="spellEnd"/>
      <w:r w:rsidRPr="00DE62DB">
        <w:rPr>
          <w:rFonts w:ascii="Times New Roman" w:eastAsia="Times New Roman" w:hAnsi="Times New Roman" w:cs="Times New Roman"/>
          <w:sz w:val="24"/>
          <w:szCs w:val="24"/>
          <w:lang w:eastAsia="it-IT"/>
        </w:rPr>
        <w:t xml:space="preserve"> </w:t>
      </w:r>
      <w:proofErr w:type="spellStart"/>
      <w:r w:rsidRPr="00DE62DB">
        <w:rPr>
          <w:rFonts w:ascii="Times New Roman" w:eastAsia="Times New Roman" w:hAnsi="Times New Roman" w:cs="Times New Roman"/>
          <w:sz w:val="24"/>
          <w:szCs w:val="24"/>
          <w:lang w:eastAsia="it-IT"/>
        </w:rPr>
        <w:t>Partners</w:t>
      </w:r>
      <w:proofErr w:type="spellEnd"/>
      <w:r w:rsidRPr="00DE62DB">
        <w:rPr>
          <w:rFonts w:ascii="Times New Roman" w:eastAsia="Times New Roman" w:hAnsi="Times New Roman" w:cs="Times New Roman"/>
          <w:sz w:val="24"/>
          <w:szCs w:val="24"/>
          <w:lang w:eastAsia="it-IT"/>
        </w:rPr>
        <w:t xml:space="preserve">, Licia </w:t>
      </w:r>
      <w:proofErr w:type="spellStart"/>
      <w:r w:rsidRPr="00DE62DB">
        <w:rPr>
          <w:rFonts w:ascii="Times New Roman" w:eastAsia="Times New Roman" w:hAnsi="Times New Roman" w:cs="Times New Roman"/>
          <w:sz w:val="24"/>
          <w:szCs w:val="24"/>
          <w:lang w:eastAsia="it-IT"/>
        </w:rPr>
        <w:t>Garotti</w:t>
      </w:r>
      <w:proofErr w:type="spellEnd"/>
      <w:r w:rsidRPr="00DE62DB">
        <w:rPr>
          <w:rFonts w:ascii="Times New Roman" w:eastAsia="Times New Roman" w:hAnsi="Times New Roman" w:cs="Times New Roman"/>
          <w:sz w:val="24"/>
          <w:szCs w:val="24"/>
          <w:lang w:eastAsia="it-IT"/>
        </w:rPr>
        <w:t xml:space="preserve"> - Partner, studio legale </w:t>
      </w:r>
      <w:proofErr w:type="spellStart"/>
      <w:r w:rsidRPr="00DE62DB">
        <w:rPr>
          <w:rFonts w:ascii="Times New Roman" w:eastAsia="Times New Roman" w:hAnsi="Times New Roman" w:cs="Times New Roman"/>
          <w:sz w:val="24"/>
          <w:szCs w:val="24"/>
          <w:lang w:eastAsia="it-IT"/>
        </w:rPr>
        <w:t>Gattai</w:t>
      </w:r>
      <w:proofErr w:type="spellEnd"/>
      <w:r w:rsidRPr="00DE62DB">
        <w:rPr>
          <w:rFonts w:ascii="Times New Roman" w:eastAsia="Times New Roman" w:hAnsi="Times New Roman" w:cs="Times New Roman"/>
          <w:sz w:val="24"/>
          <w:szCs w:val="24"/>
          <w:lang w:eastAsia="it-IT"/>
        </w:rPr>
        <w:t xml:space="preserve"> Minoli </w:t>
      </w:r>
      <w:proofErr w:type="spellStart"/>
      <w:r w:rsidRPr="00DE62DB">
        <w:rPr>
          <w:rFonts w:ascii="Times New Roman" w:eastAsia="Times New Roman" w:hAnsi="Times New Roman" w:cs="Times New Roman"/>
          <w:sz w:val="24"/>
          <w:szCs w:val="24"/>
          <w:lang w:eastAsia="it-IT"/>
        </w:rPr>
        <w:t>Agostinelli</w:t>
      </w:r>
      <w:proofErr w:type="spellEnd"/>
      <w:r w:rsidRPr="00DE62DB">
        <w:rPr>
          <w:rFonts w:ascii="Times New Roman" w:eastAsia="Times New Roman" w:hAnsi="Times New Roman" w:cs="Times New Roman"/>
          <w:sz w:val="24"/>
          <w:szCs w:val="24"/>
          <w:lang w:eastAsia="it-IT"/>
        </w:rPr>
        <w:t xml:space="preserve"> </w:t>
      </w:r>
      <w:proofErr w:type="spellStart"/>
      <w:r w:rsidRPr="00DE62DB">
        <w:rPr>
          <w:rFonts w:ascii="Times New Roman" w:eastAsia="Times New Roman" w:hAnsi="Times New Roman" w:cs="Times New Roman"/>
          <w:sz w:val="24"/>
          <w:szCs w:val="24"/>
          <w:lang w:eastAsia="it-IT"/>
        </w:rPr>
        <w:t>Partners</w:t>
      </w:r>
      <w:proofErr w:type="spellEnd"/>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Per prima tra i paesi europei, l’Italia ha fornito una definizione di “tecnologie basate su registri distribuiti” e di “</w:t>
      </w:r>
      <w:proofErr w:type="spellStart"/>
      <w:r w:rsidRPr="00DE62DB">
        <w:rPr>
          <w:rFonts w:ascii="Times New Roman" w:eastAsia="Times New Roman" w:hAnsi="Times New Roman" w:cs="Times New Roman"/>
          <w:sz w:val="24"/>
          <w:szCs w:val="24"/>
          <w:lang w:eastAsia="it-IT"/>
        </w:rPr>
        <w:t>smart</w:t>
      </w:r>
      <w:proofErr w:type="spellEnd"/>
      <w:r w:rsidRPr="00DE62DB">
        <w:rPr>
          <w:rFonts w:ascii="Times New Roman" w:eastAsia="Times New Roman" w:hAnsi="Times New Roman" w:cs="Times New Roman"/>
          <w:sz w:val="24"/>
          <w:szCs w:val="24"/>
          <w:lang w:eastAsia="it-IT"/>
        </w:rPr>
        <w:t xml:space="preserve"> </w:t>
      </w:r>
      <w:proofErr w:type="spellStart"/>
      <w:r w:rsidRPr="00DE62DB">
        <w:rPr>
          <w:rFonts w:ascii="Times New Roman" w:eastAsia="Times New Roman" w:hAnsi="Times New Roman" w:cs="Times New Roman"/>
          <w:sz w:val="24"/>
          <w:szCs w:val="24"/>
          <w:lang w:eastAsia="it-IT"/>
        </w:rPr>
        <w:t>contract</w:t>
      </w:r>
      <w:proofErr w:type="spellEnd"/>
      <w:r w:rsidRPr="00DE62DB">
        <w:rPr>
          <w:rFonts w:ascii="Times New Roman" w:eastAsia="Times New Roman" w:hAnsi="Times New Roman" w:cs="Times New Roman"/>
          <w:sz w:val="24"/>
          <w:szCs w:val="24"/>
          <w:lang w:eastAsia="it-IT"/>
        </w:rPr>
        <w:t>”, disegnando nel contempo la disciplina generale degli effetti giuridici connessi all’utilizzo di tali tecnologie.</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Il riferimento è all’art. 8-ter del Decreto Semplificazioni (D.L. 14 dicembre 2018, n. 135, convertito in legge con L. 11 febbraio 2019, n. 12).</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 xml:space="preserve">La normativa, specie se confrontata con l’ inerzia dei precedenti esecutivi sul tema, ha il pregio di porsi all’avanguardia nella regolamentazione della tecnologia </w:t>
      </w:r>
      <w:proofErr w:type="spellStart"/>
      <w:r w:rsidRPr="00DE62DB">
        <w:rPr>
          <w:rFonts w:ascii="Times New Roman" w:eastAsia="Times New Roman" w:hAnsi="Times New Roman" w:cs="Times New Roman"/>
          <w:sz w:val="24"/>
          <w:szCs w:val="24"/>
          <w:lang w:eastAsia="it-IT"/>
        </w:rPr>
        <w:t>blockchain</w:t>
      </w:r>
      <w:proofErr w:type="spellEnd"/>
      <w:r w:rsidRPr="00DE62DB">
        <w:rPr>
          <w:rFonts w:ascii="Times New Roman" w:eastAsia="Times New Roman" w:hAnsi="Times New Roman" w:cs="Times New Roman"/>
          <w:sz w:val="24"/>
          <w:szCs w:val="24"/>
          <w:lang w:eastAsia="it-IT"/>
        </w:rPr>
        <w:t xml:space="preserve"> “oltre” gli aspetti prettamente finanziari connessi ai fenomeni delle </w:t>
      </w:r>
      <w:proofErr w:type="spellStart"/>
      <w:r w:rsidRPr="00DE62DB">
        <w:rPr>
          <w:rFonts w:ascii="Times New Roman" w:eastAsia="Times New Roman" w:hAnsi="Times New Roman" w:cs="Times New Roman"/>
          <w:sz w:val="24"/>
          <w:szCs w:val="24"/>
          <w:lang w:eastAsia="it-IT"/>
        </w:rPr>
        <w:t>criptovalute</w:t>
      </w:r>
      <w:proofErr w:type="spellEnd"/>
      <w:r w:rsidRPr="00DE62DB">
        <w:rPr>
          <w:rFonts w:ascii="Times New Roman" w:eastAsia="Times New Roman" w:hAnsi="Times New Roman" w:cs="Times New Roman"/>
          <w:sz w:val="24"/>
          <w:szCs w:val="24"/>
          <w:lang w:eastAsia="it-IT"/>
        </w:rPr>
        <w:t xml:space="preserve"> e della </w:t>
      </w:r>
      <w:proofErr w:type="spellStart"/>
      <w:r w:rsidRPr="00DE62DB">
        <w:rPr>
          <w:rFonts w:ascii="Times New Roman" w:eastAsia="Times New Roman" w:hAnsi="Times New Roman" w:cs="Times New Roman"/>
          <w:sz w:val="24"/>
          <w:szCs w:val="24"/>
          <w:lang w:eastAsia="it-IT"/>
        </w:rPr>
        <w:t>tokenizzazione</w:t>
      </w:r>
      <w:proofErr w:type="spellEnd"/>
      <w:r w:rsidRPr="00DE62DB">
        <w:rPr>
          <w:rFonts w:ascii="Times New Roman" w:eastAsia="Times New Roman" w:hAnsi="Times New Roman" w:cs="Times New Roman"/>
          <w:sz w:val="24"/>
          <w:szCs w:val="24"/>
          <w:lang w:eastAsia="it-IT"/>
        </w:rPr>
        <w:t xml:space="preserve">. </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La formulazione normativa lascia spazio, tuttavia, ad alcuni dubbi interpretativi, che potranno essere in parte risolti in sede di predisposizione delle linee guida che l’</w:t>
      </w:r>
      <w:proofErr w:type="spellStart"/>
      <w:r w:rsidRPr="00DE62DB">
        <w:rPr>
          <w:rFonts w:ascii="Times New Roman" w:eastAsia="Times New Roman" w:hAnsi="Times New Roman" w:cs="Times New Roman"/>
          <w:sz w:val="24"/>
          <w:szCs w:val="24"/>
          <w:lang w:eastAsia="it-IT"/>
        </w:rPr>
        <w:t>AgID</w:t>
      </w:r>
      <w:proofErr w:type="spellEnd"/>
      <w:r w:rsidRPr="00DE62DB">
        <w:rPr>
          <w:rFonts w:ascii="Times New Roman" w:eastAsia="Times New Roman" w:hAnsi="Times New Roman" w:cs="Times New Roman"/>
          <w:sz w:val="24"/>
          <w:szCs w:val="24"/>
          <w:lang w:eastAsia="it-IT"/>
        </w:rPr>
        <w:t xml:space="preserve"> dovrà adottare in conformità a quanto indicato nel medesimo Decreto Semplificazioni.</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b/>
          <w:bCs/>
          <w:sz w:val="24"/>
          <w:szCs w:val="24"/>
          <w:lang w:eastAsia="it-IT"/>
        </w:rPr>
        <w:t>Tecnologie basate su registri distribuiti</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Le “tecnologie basate su registri distribuiti” sono definite come “le tecnologie e i protocolli informatici che usano un registro condiviso, distribuito, replicabile, accessibile simultaneamente, architetturalmente decentralizzato su basi crittografiche, tali da consentire la registrazione, la convalida, l’aggiornamento e l’archiviazione di dati sia in chiaro che ulteriormente protetti da crittografia verificabili da ciascun partecipante, non alterabili e non modificabili”.</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 xml:space="preserve">La definizione presenta alcuni margini di </w:t>
      </w:r>
      <w:r w:rsidRPr="00DE62DB">
        <w:rPr>
          <w:rFonts w:ascii="Times New Roman" w:eastAsia="Times New Roman" w:hAnsi="Times New Roman" w:cs="Times New Roman"/>
          <w:b/>
          <w:bCs/>
          <w:sz w:val="24"/>
          <w:szCs w:val="24"/>
          <w:lang w:eastAsia="it-IT"/>
        </w:rPr>
        <w:t>ambiguità</w:t>
      </w:r>
      <w:r w:rsidRPr="00DE62DB">
        <w:rPr>
          <w:rFonts w:ascii="Times New Roman" w:eastAsia="Times New Roman" w:hAnsi="Times New Roman" w:cs="Times New Roman"/>
          <w:sz w:val="24"/>
          <w:szCs w:val="24"/>
          <w:lang w:eastAsia="it-IT"/>
        </w:rPr>
        <w:t xml:space="preserve"> e di </w:t>
      </w:r>
      <w:r w:rsidRPr="00DE62DB">
        <w:rPr>
          <w:rFonts w:ascii="Times New Roman" w:eastAsia="Times New Roman" w:hAnsi="Times New Roman" w:cs="Times New Roman"/>
          <w:b/>
          <w:bCs/>
          <w:sz w:val="24"/>
          <w:szCs w:val="24"/>
          <w:lang w:eastAsia="it-IT"/>
        </w:rPr>
        <w:t>incompletezza</w:t>
      </w:r>
      <w:r w:rsidRPr="00DE62DB">
        <w:rPr>
          <w:rFonts w:ascii="Times New Roman" w:eastAsia="Times New Roman" w:hAnsi="Times New Roman" w:cs="Times New Roman"/>
          <w:sz w:val="24"/>
          <w:szCs w:val="24"/>
          <w:lang w:eastAsia="it-IT"/>
        </w:rPr>
        <w:t>.</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Un primo punto di attenzione riguarda il requisito della non alterabilità e non modificabilità dei dati. Per quanto consta a chi scrive, ciò non è garantito da alcuno dei protocolli attualmente disponibili.</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 xml:space="preserve">Anche le </w:t>
      </w:r>
      <w:proofErr w:type="spellStart"/>
      <w:r w:rsidRPr="00DE62DB">
        <w:rPr>
          <w:rFonts w:ascii="Times New Roman" w:eastAsia="Times New Roman" w:hAnsi="Times New Roman" w:cs="Times New Roman"/>
          <w:sz w:val="24"/>
          <w:szCs w:val="24"/>
          <w:lang w:eastAsia="it-IT"/>
        </w:rPr>
        <w:t>blockchain</w:t>
      </w:r>
      <w:proofErr w:type="spellEnd"/>
      <w:r w:rsidRPr="00DE62DB">
        <w:rPr>
          <w:rFonts w:ascii="Times New Roman" w:eastAsia="Times New Roman" w:hAnsi="Times New Roman" w:cs="Times New Roman"/>
          <w:sz w:val="24"/>
          <w:szCs w:val="24"/>
          <w:lang w:eastAsia="it-IT"/>
        </w:rPr>
        <w:t xml:space="preserve"> pubbliche più conosciute, </w:t>
      </w:r>
      <w:proofErr w:type="spellStart"/>
      <w:r w:rsidRPr="00DE62DB">
        <w:rPr>
          <w:rFonts w:ascii="Times New Roman" w:eastAsia="Times New Roman" w:hAnsi="Times New Roman" w:cs="Times New Roman"/>
          <w:sz w:val="24"/>
          <w:szCs w:val="24"/>
          <w:lang w:eastAsia="it-IT"/>
        </w:rPr>
        <w:t>Bitcoin</w:t>
      </w:r>
      <w:proofErr w:type="spellEnd"/>
      <w:r w:rsidRPr="00DE62DB">
        <w:rPr>
          <w:rFonts w:ascii="Times New Roman" w:eastAsia="Times New Roman" w:hAnsi="Times New Roman" w:cs="Times New Roman"/>
          <w:sz w:val="24"/>
          <w:szCs w:val="24"/>
          <w:lang w:eastAsia="it-IT"/>
        </w:rPr>
        <w:t xml:space="preserve"> ed </w:t>
      </w:r>
      <w:proofErr w:type="spellStart"/>
      <w:r w:rsidRPr="00DE62DB">
        <w:rPr>
          <w:rFonts w:ascii="Times New Roman" w:eastAsia="Times New Roman" w:hAnsi="Times New Roman" w:cs="Times New Roman"/>
          <w:sz w:val="24"/>
          <w:szCs w:val="24"/>
          <w:lang w:eastAsia="it-IT"/>
        </w:rPr>
        <w:t>Ethereum</w:t>
      </w:r>
      <w:proofErr w:type="spellEnd"/>
      <w:r w:rsidRPr="00DE62DB">
        <w:rPr>
          <w:rFonts w:ascii="Times New Roman" w:eastAsia="Times New Roman" w:hAnsi="Times New Roman" w:cs="Times New Roman"/>
          <w:sz w:val="24"/>
          <w:szCs w:val="24"/>
          <w:lang w:eastAsia="it-IT"/>
        </w:rPr>
        <w:t xml:space="preserve">, possono essere </w:t>
      </w:r>
      <w:r w:rsidRPr="00DE62DB">
        <w:rPr>
          <w:rFonts w:ascii="Times New Roman" w:eastAsia="Times New Roman" w:hAnsi="Times New Roman" w:cs="Times New Roman"/>
          <w:b/>
          <w:bCs/>
          <w:sz w:val="24"/>
          <w:szCs w:val="24"/>
          <w:lang w:eastAsia="it-IT"/>
        </w:rPr>
        <w:t>alterate</w:t>
      </w:r>
      <w:r w:rsidRPr="00DE62DB">
        <w:rPr>
          <w:rFonts w:ascii="Times New Roman" w:eastAsia="Times New Roman" w:hAnsi="Times New Roman" w:cs="Times New Roman"/>
          <w:sz w:val="24"/>
          <w:szCs w:val="24"/>
          <w:lang w:eastAsia="it-IT"/>
        </w:rPr>
        <w:t xml:space="preserve"> con il consenso della maggioranza dei nodi e, perciò, esposte ai cosiddetti </w:t>
      </w:r>
      <w:r w:rsidRPr="00DE62DB">
        <w:rPr>
          <w:rFonts w:ascii="Times New Roman" w:eastAsia="Times New Roman" w:hAnsi="Times New Roman" w:cs="Times New Roman"/>
          <w:b/>
          <w:bCs/>
          <w:sz w:val="24"/>
          <w:szCs w:val="24"/>
          <w:lang w:eastAsia="it-IT"/>
        </w:rPr>
        <w:t>attacchi del 51%</w:t>
      </w:r>
      <w:r w:rsidRPr="00DE62DB">
        <w:rPr>
          <w:rFonts w:ascii="Times New Roman" w:eastAsia="Times New Roman" w:hAnsi="Times New Roman" w:cs="Times New Roman"/>
          <w:sz w:val="24"/>
          <w:szCs w:val="24"/>
          <w:lang w:eastAsia="it-IT"/>
        </w:rPr>
        <w:t xml:space="preserve">. L’ambiguità è accentuata dal fatto che, accanto all’inalterabilità e </w:t>
      </w:r>
      <w:proofErr w:type="spellStart"/>
      <w:r w:rsidRPr="00DE62DB">
        <w:rPr>
          <w:rFonts w:ascii="Times New Roman" w:eastAsia="Times New Roman" w:hAnsi="Times New Roman" w:cs="Times New Roman"/>
          <w:sz w:val="24"/>
          <w:szCs w:val="24"/>
          <w:lang w:eastAsia="it-IT"/>
        </w:rPr>
        <w:t>immodificabilità</w:t>
      </w:r>
      <w:proofErr w:type="spellEnd"/>
      <w:r w:rsidRPr="00DE62DB">
        <w:rPr>
          <w:rFonts w:ascii="Times New Roman" w:eastAsia="Times New Roman" w:hAnsi="Times New Roman" w:cs="Times New Roman"/>
          <w:sz w:val="24"/>
          <w:szCs w:val="24"/>
          <w:lang w:eastAsia="it-IT"/>
        </w:rPr>
        <w:t xml:space="preserve"> dei dati, la definizione prevede la possibilità di “</w:t>
      </w:r>
      <w:r w:rsidRPr="00DE62DB">
        <w:rPr>
          <w:rFonts w:ascii="Times New Roman" w:eastAsia="Times New Roman" w:hAnsi="Times New Roman" w:cs="Times New Roman"/>
          <w:b/>
          <w:bCs/>
          <w:sz w:val="24"/>
          <w:szCs w:val="24"/>
          <w:lang w:eastAsia="it-IT"/>
        </w:rPr>
        <w:t>aggiornamento</w:t>
      </w:r>
      <w:r w:rsidRPr="00DE62DB">
        <w:rPr>
          <w:rFonts w:ascii="Times New Roman" w:eastAsia="Times New Roman" w:hAnsi="Times New Roman" w:cs="Times New Roman"/>
          <w:sz w:val="24"/>
          <w:szCs w:val="24"/>
          <w:lang w:eastAsia="it-IT"/>
        </w:rPr>
        <w:t>” dei dati memorizzati nel registro.</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Alcuni commentatori hanno espresso, inoltre, dubbi sul significato dell’espressione “registro … architetturalmente decentralizzato su basi crittografiche”, non essendo noto in cosa consistano i concetti di “</w:t>
      </w:r>
      <w:r w:rsidRPr="00DE62DB">
        <w:rPr>
          <w:rFonts w:ascii="Times New Roman" w:eastAsia="Times New Roman" w:hAnsi="Times New Roman" w:cs="Times New Roman"/>
          <w:b/>
          <w:bCs/>
          <w:sz w:val="24"/>
          <w:szCs w:val="24"/>
          <w:lang w:eastAsia="it-IT"/>
        </w:rPr>
        <w:t>basi crittografiche</w:t>
      </w:r>
      <w:r w:rsidRPr="00DE62DB">
        <w:rPr>
          <w:rFonts w:ascii="Times New Roman" w:eastAsia="Times New Roman" w:hAnsi="Times New Roman" w:cs="Times New Roman"/>
          <w:sz w:val="24"/>
          <w:szCs w:val="24"/>
          <w:lang w:eastAsia="it-IT"/>
        </w:rPr>
        <w:t xml:space="preserve">” e di </w:t>
      </w:r>
      <w:r w:rsidRPr="00DE62DB">
        <w:rPr>
          <w:rFonts w:ascii="Times New Roman" w:eastAsia="Times New Roman" w:hAnsi="Times New Roman" w:cs="Times New Roman"/>
          <w:b/>
          <w:bCs/>
          <w:sz w:val="24"/>
          <w:szCs w:val="24"/>
          <w:lang w:eastAsia="it-IT"/>
        </w:rPr>
        <w:t>decentralizzazione architetturale</w:t>
      </w:r>
      <w:r w:rsidRPr="00DE62DB">
        <w:rPr>
          <w:rFonts w:ascii="Times New Roman" w:eastAsia="Times New Roman" w:hAnsi="Times New Roman" w:cs="Times New Roman"/>
          <w:sz w:val="24"/>
          <w:szCs w:val="24"/>
          <w:lang w:eastAsia="it-IT"/>
        </w:rPr>
        <w:t xml:space="preserve"> del registro.</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 xml:space="preserve">La definizione, infine, non valorizza gli elementi del </w:t>
      </w:r>
      <w:r w:rsidRPr="00DE62DB">
        <w:rPr>
          <w:rFonts w:ascii="Times New Roman" w:eastAsia="Times New Roman" w:hAnsi="Times New Roman" w:cs="Times New Roman"/>
          <w:b/>
          <w:bCs/>
          <w:sz w:val="24"/>
          <w:szCs w:val="24"/>
          <w:lang w:eastAsia="it-IT"/>
        </w:rPr>
        <w:t>protocollo del consenso</w:t>
      </w:r>
      <w:r w:rsidRPr="00DE62DB">
        <w:rPr>
          <w:rFonts w:ascii="Times New Roman" w:eastAsia="Times New Roman" w:hAnsi="Times New Roman" w:cs="Times New Roman"/>
          <w:sz w:val="24"/>
          <w:szCs w:val="24"/>
          <w:lang w:eastAsia="it-IT"/>
        </w:rPr>
        <w:t xml:space="preserve"> e dell’</w:t>
      </w:r>
      <w:r w:rsidRPr="00DE62DB">
        <w:rPr>
          <w:rFonts w:ascii="Times New Roman" w:eastAsia="Times New Roman" w:hAnsi="Times New Roman" w:cs="Times New Roman"/>
          <w:b/>
          <w:bCs/>
          <w:sz w:val="24"/>
          <w:szCs w:val="24"/>
          <w:lang w:eastAsia="it-IT"/>
        </w:rPr>
        <w:t>incentivo economico</w:t>
      </w:r>
      <w:r w:rsidRPr="00DE62DB">
        <w:rPr>
          <w:rFonts w:ascii="Times New Roman" w:eastAsia="Times New Roman" w:hAnsi="Times New Roman" w:cs="Times New Roman"/>
          <w:sz w:val="24"/>
          <w:szCs w:val="24"/>
          <w:lang w:eastAsia="it-IT"/>
        </w:rPr>
        <w:t xml:space="preserve">, cioè a dire gli elementi centrali e innovativi che contraddistinguono la tecnologia </w:t>
      </w:r>
      <w:proofErr w:type="spellStart"/>
      <w:r w:rsidRPr="00DE62DB">
        <w:rPr>
          <w:rFonts w:ascii="Times New Roman" w:eastAsia="Times New Roman" w:hAnsi="Times New Roman" w:cs="Times New Roman"/>
          <w:sz w:val="24"/>
          <w:szCs w:val="24"/>
          <w:lang w:eastAsia="it-IT"/>
        </w:rPr>
        <w:lastRenderedPageBreak/>
        <w:t>blockchain</w:t>
      </w:r>
      <w:proofErr w:type="spellEnd"/>
      <w:r w:rsidRPr="00DE62DB">
        <w:rPr>
          <w:rFonts w:ascii="Times New Roman" w:eastAsia="Times New Roman" w:hAnsi="Times New Roman" w:cs="Times New Roman"/>
          <w:sz w:val="24"/>
          <w:szCs w:val="24"/>
          <w:lang w:eastAsia="it-IT"/>
        </w:rPr>
        <w:t xml:space="preserve"> (intesa come infrastruttura public e </w:t>
      </w:r>
      <w:proofErr w:type="spellStart"/>
      <w:r w:rsidRPr="00DE62DB">
        <w:rPr>
          <w:rFonts w:ascii="Times New Roman" w:eastAsia="Times New Roman" w:hAnsi="Times New Roman" w:cs="Times New Roman"/>
          <w:sz w:val="24"/>
          <w:szCs w:val="24"/>
          <w:lang w:eastAsia="it-IT"/>
        </w:rPr>
        <w:t>permissionless</w:t>
      </w:r>
      <w:proofErr w:type="spellEnd"/>
      <w:r w:rsidRPr="00DE62DB">
        <w:rPr>
          <w:rFonts w:ascii="Times New Roman" w:eastAsia="Times New Roman" w:hAnsi="Times New Roman" w:cs="Times New Roman"/>
          <w:sz w:val="24"/>
          <w:szCs w:val="24"/>
          <w:lang w:eastAsia="it-IT"/>
        </w:rPr>
        <w:t xml:space="preserve">) da semplici database decentralizzati (DLT). Il rischio è di estendere gli effetti giuridici previsti dalla normativa anche a soluzioni private e </w:t>
      </w:r>
      <w:proofErr w:type="spellStart"/>
      <w:r w:rsidRPr="00DE62DB">
        <w:rPr>
          <w:rFonts w:ascii="Times New Roman" w:eastAsia="Times New Roman" w:hAnsi="Times New Roman" w:cs="Times New Roman"/>
          <w:sz w:val="24"/>
          <w:szCs w:val="24"/>
          <w:lang w:eastAsia="it-IT"/>
        </w:rPr>
        <w:t>permissioned</w:t>
      </w:r>
      <w:proofErr w:type="spellEnd"/>
      <w:r w:rsidRPr="00DE62DB">
        <w:rPr>
          <w:rFonts w:ascii="Times New Roman" w:eastAsia="Times New Roman" w:hAnsi="Times New Roman" w:cs="Times New Roman"/>
          <w:sz w:val="24"/>
          <w:szCs w:val="24"/>
          <w:lang w:eastAsia="it-IT"/>
        </w:rPr>
        <w:t>, caratterizzate dalla presenza di un “regolatore” centrale e, nella sostanza, non molto diverse da semplici database.</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 xml:space="preserve">Proprio per quanto concerne gli effetti giuridici, la norma prevede che “la </w:t>
      </w:r>
      <w:r w:rsidRPr="00DE62DB">
        <w:rPr>
          <w:rFonts w:ascii="Times New Roman" w:eastAsia="Times New Roman" w:hAnsi="Times New Roman" w:cs="Times New Roman"/>
          <w:b/>
          <w:bCs/>
          <w:sz w:val="24"/>
          <w:szCs w:val="24"/>
          <w:lang w:eastAsia="it-IT"/>
        </w:rPr>
        <w:t>memorizzazione</w:t>
      </w:r>
      <w:r w:rsidRPr="00DE62DB">
        <w:rPr>
          <w:rFonts w:ascii="Times New Roman" w:eastAsia="Times New Roman" w:hAnsi="Times New Roman" w:cs="Times New Roman"/>
          <w:sz w:val="24"/>
          <w:szCs w:val="24"/>
          <w:lang w:eastAsia="it-IT"/>
        </w:rPr>
        <w:t xml:space="preserve"> di un </w:t>
      </w:r>
      <w:r w:rsidRPr="00DE62DB">
        <w:rPr>
          <w:rFonts w:ascii="Times New Roman" w:eastAsia="Times New Roman" w:hAnsi="Times New Roman" w:cs="Times New Roman"/>
          <w:b/>
          <w:bCs/>
          <w:sz w:val="24"/>
          <w:szCs w:val="24"/>
          <w:lang w:eastAsia="it-IT"/>
        </w:rPr>
        <w:t>documento informatico</w:t>
      </w:r>
      <w:r w:rsidRPr="00DE62DB">
        <w:rPr>
          <w:rFonts w:ascii="Times New Roman" w:eastAsia="Times New Roman" w:hAnsi="Times New Roman" w:cs="Times New Roman"/>
          <w:sz w:val="24"/>
          <w:szCs w:val="24"/>
          <w:lang w:eastAsia="it-IT"/>
        </w:rPr>
        <w:t xml:space="preserve"> attraverso l’utilizzo di tecnologie basate su registri distribuiti produce gli effetti giuridici della </w:t>
      </w:r>
      <w:r w:rsidRPr="00DE62DB">
        <w:rPr>
          <w:rFonts w:ascii="Times New Roman" w:eastAsia="Times New Roman" w:hAnsi="Times New Roman" w:cs="Times New Roman"/>
          <w:b/>
          <w:bCs/>
          <w:sz w:val="24"/>
          <w:szCs w:val="24"/>
          <w:lang w:eastAsia="it-IT"/>
        </w:rPr>
        <w:t>validazione temporale elettronica</w:t>
      </w:r>
      <w:r w:rsidRPr="00DE62DB">
        <w:rPr>
          <w:rFonts w:ascii="Times New Roman" w:eastAsia="Times New Roman" w:hAnsi="Times New Roman" w:cs="Times New Roman"/>
          <w:sz w:val="24"/>
          <w:szCs w:val="24"/>
          <w:lang w:eastAsia="it-IT"/>
        </w:rPr>
        <w:t xml:space="preserve"> di cui all’articolo 41” del Regolamento </w:t>
      </w:r>
      <w:proofErr w:type="spellStart"/>
      <w:r w:rsidRPr="00DE62DB">
        <w:rPr>
          <w:rFonts w:ascii="Times New Roman" w:eastAsia="Times New Roman" w:hAnsi="Times New Roman" w:cs="Times New Roman"/>
          <w:sz w:val="24"/>
          <w:szCs w:val="24"/>
          <w:lang w:eastAsia="it-IT"/>
        </w:rPr>
        <w:t>eIDAS</w:t>
      </w:r>
      <w:proofErr w:type="spellEnd"/>
      <w:r w:rsidRPr="00DE62DB">
        <w:rPr>
          <w:rFonts w:ascii="Times New Roman" w:eastAsia="Times New Roman" w:hAnsi="Times New Roman" w:cs="Times New Roman"/>
          <w:sz w:val="24"/>
          <w:szCs w:val="24"/>
          <w:lang w:eastAsia="it-IT"/>
        </w:rPr>
        <w:t>, lasciando all’</w:t>
      </w:r>
      <w:proofErr w:type="spellStart"/>
      <w:r w:rsidRPr="00DE62DB">
        <w:rPr>
          <w:rFonts w:ascii="Times New Roman" w:eastAsia="Times New Roman" w:hAnsi="Times New Roman" w:cs="Times New Roman"/>
          <w:sz w:val="24"/>
          <w:szCs w:val="24"/>
          <w:lang w:eastAsia="it-IT"/>
        </w:rPr>
        <w:t>AgID</w:t>
      </w:r>
      <w:proofErr w:type="spellEnd"/>
      <w:r w:rsidRPr="00DE62DB">
        <w:rPr>
          <w:rFonts w:ascii="Times New Roman" w:eastAsia="Times New Roman" w:hAnsi="Times New Roman" w:cs="Times New Roman"/>
          <w:sz w:val="24"/>
          <w:szCs w:val="24"/>
          <w:lang w:eastAsia="it-IT"/>
        </w:rPr>
        <w:t xml:space="preserve"> l’incarico di individuare “entro novanta giorni dalla data in vigore della legge di conversione” del Decreto Semplificazioni “gli standard tecnici che le tecnologie basate su registri distribuiti debbono possedere” al fine della produzione di tali effetti.</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 xml:space="preserve">La </w:t>
      </w:r>
      <w:proofErr w:type="spellStart"/>
      <w:r w:rsidRPr="00DE62DB">
        <w:rPr>
          <w:rFonts w:ascii="Times New Roman" w:eastAsia="Times New Roman" w:hAnsi="Times New Roman" w:cs="Times New Roman"/>
          <w:sz w:val="24"/>
          <w:szCs w:val="24"/>
          <w:lang w:eastAsia="it-IT"/>
        </w:rPr>
        <w:t>blockchain</w:t>
      </w:r>
      <w:proofErr w:type="spellEnd"/>
      <w:r w:rsidRPr="00DE62DB">
        <w:rPr>
          <w:rFonts w:ascii="Times New Roman" w:eastAsia="Times New Roman" w:hAnsi="Times New Roman" w:cs="Times New Roman"/>
          <w:sz w:val="24"/>
          <w:szCs w:val="24"/>
          <w:lang w:eastAsia="it-IT"/>
        </w:rPr>
        <w:t xml:space="preserve"> sarà quindi legalmente idonea a “collegare i dati in forma elettronica a una particolare data e ora, così da provare che questi ultimi esistevano in quel momento”, come da definizione di validazione temporale elettronica di cui all’art. 3, n. 33 del Regolamento </w:t>
      </w:r>
      <w:proofErr w:type="spellStart"/>
      <w:r w:rsidRPr="00DE62DB">
        <w:rPr>
          <w:rFonts w:ascii="Times New Roman" w:eastAsia="Times New Roman" w:hAnsi="Times New Roman" w:cs="Times New Roman"/>
          <w:sz w:val="24"/>
          <w:szCs w:val="24"/>
          <w:lang w:eastAsia="it-IT"/>
        </w:rPr>
        <w:t>eIDAS</w:t>
      </w:r>
      <w:proofErr w:type="spellEnd"/>
      <w:r w:rsidRPr="00DE62DB">
        <w:rPr>
          <w:rFonts w:ascii="Times New Roman" w:eastAsia="Times New Roman" w:hAnsi="Times New Roman" w:cs="Times New Roman"/>
          <w:sz w:val="24"/>
          <w:szCs w:val="24"/>
          <w:lang w:eastAsia="it-IT"/>
        </w:rPr>
        <w:t xml:space="preserve">. </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 xml:space="preserve">Resta da valutare se anche la memorizzazione in </w:t>
      </w:r>
      <w:proofErr w:type="spellStart"/>
      <w:r w:rsidRPr="00DE62DB">
        <w:rPr>
          <w:rFonts w:ascii="Times New Roman" w:eastAsia="Times New Roman" w:hAnsi="Times New Roman" w:cs="Times New Roman"/>
          <w:sz w:val="24"/>
          <w:szCs w:val="24"/>
          <w:lang w:eastAsia="it-IT"/>
        </w:rPr>
        <w:t>blockchain</w:t>
      </w:r>
      <w:proofErr w:type="spellEnd"/>
      <w:r w:rsidRPr="00DE62DB">
        <w:rPr>
          <w:rFonts w:ascii="Times New Roman" w:eastAsia="Times New Roman" w:hAnsi="Times New Roman" w:cs="Times New Roman"/>
          <w:sz w:val="24"/>
          <w:szCs w:val="24"/>
          <w:lang w:eastAsia="it-IT"/>
        </w:rPr>
        <w:t xml:space="preserve"> della sola </w:t>
      </w:r>
      <w:r w:rsidRPr="00DE62DB">
        <w:rPr>
          <w:rFonts w:ascii="Times New Roman" w:eastAsia="Times New Roman" w:hAnsi="Times New Roman" w:cs="Times New Roman"/>
          <w:b/>
          <w:bCs/>
          <w:sz w:val="24"/>
          <w:szCs w:val="24"/>
          <w:lang w:eastAsia="it-IT"/>
        </w:rPr>
        <w:t>impronta</w:t>
      </w:r>
      <w:r w:rsidRPr="00DE62DB">
        <w:rPr>
          <w:rFonts w:ascii="Times New Roman" w:eastAsia="Times New Roman" w:hAnsi="Times New Roman" w:cs="Times New Roman"/>
          <w:sz w:val="24"/>
          <w:szCs w:val="24"/>
          <w:lang w:eastAsia="it-IT"/>
        </w:rPr>
        <w:t xml:space="preserve"> (</w:t>
      </w:r>
      <w:proofErr w:type="spellStart"/>
      <w:r w:rsidRPr="00DE62DB">
        <w:rPr>
          <w:rFonts w:ascii="Times New Roman" w:eastAsia="Times New Roman" w:hAnsi="Times New Roman" w:cs="Times New Roman"/>
          <w:b/>
          <w:bCs/>
          <w:sz w:val="24"/>
          <w:szCs w:val="24"/>
          <w:lang w:eastAsia="it-IT"/>
        </w:rPr>
        <w:t>hash</w:t>
      </w:r>
      <w:proofErr w:type="spellEnd"/>
      <w:r w:rsidRPr="00DE62DB">
        <w:rPr>
          <w:rFonts w:ascii="Times New Roman" w:eastAsia="Times New Roman" w:hAnsi="Times New Roman" w:cs="Times New Roman"/>
          <w:sz w:val="24"/>
          <w:szCs w:val="24"/>
          <w:lang w:eastAsia="it-IT"/>
        </w:rPr>
        <w:t>) del documento informatico (e non del documento informatico in sé) potrà beneficiare degli effetti previsti dalla norma.</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 xml:space="preserve">La questione presenta importanti risvolti, soprattutto sotto il profilo della </w:t>
      </w:r>
      <w:r w:rsidRPr="00DE62DB">
        <w:rPr>
          <w:rFonts w:ascii="Times New Roman" w:eastAsia="Times New Roman" w:hAnsi="Times New Roman" w:cs="Times New Roman"/>
          <w:b/>
          <w:bCs/>
          <w:sz w:val="24"/>
          <w:szCs w:val="24"/>
          <w:lang w:eastAsia="it-IT"/>
        </w:rPr>
        <w:t xml:space="preserve">data </w:t>
      </w:r>
      <w:proofErr w:type="spellStart"/>
      <w:r w:rsidRPr="00DE62DB">
        <w:rPr>
          <w:rFonts w:ascii="Times New Roman" w:eastAsia="Times New Roman" w:hAnsi="Times New Roman" w:cs="Times New Roman"/>
          <w:b/>
          <w:bCs/>
          <w:sz w:val="24"/>
          <w:szCs w:val="24"/>
          <w:lang w:eastAsia="it-IT"/>
        </w:rPr>
        <w:t>protection</w:t>
      </w:r>
      <w:proofErr w:type="spellEnd"/>
      <w:r w:rsidRPr="00DE62DB">
        <w:rPr>
          <w:rFonts w:ascii="Times New Roman" w:eastAsia="Times New Roman" w:hAnsi="Times New Roman" w:cs="Times New Roman"/>
          <w:sz w:val="24"/>
          <w:szCs w:val="24"/>
          <w:lang w:eastAsia="it-IT"/>
        </w:rPr>
        <w:t xml:space="preserve">: è noto, infatti, che la memorizzazione in </w:t>
      </w:r>
      <w:proofErr w:type="spellStart"/>
      <w:r w:rsidRPr="00DE62DB">
        <w:rPr>
          <w:rFonts w:ascii="Times New Roman" w:eastAsia="Times New Roman" w:hAnsi="Times New Roman" w:cs="Times New Roman"/>
          <w:sz w:val="24"/>
          <w:szCs w:val="24"/>
          <w:lang w:eastAsia="it-IT"/>
        </w:rPr>
        <w:t>blockchain</w:t>
      </w:r>
      <w:proofErr w:type="spellEnd"/>
      <w:r w:rsidRPr="00DE62DB">
        <w:rPr>
          <w:rFonts w:ascii="Times New Roman" w:eastAsia="Times New Roman" w:hAnsi="Times New Roman" w:cs="Times New Roman"/>
          <w:sz w:val="24"/>
          <w:szCs w:val="24"/>
          <w:lang w:eastAsia="it-IT"/>
        </w:rPr>
        <w:t xml:space="preserve"> di documenti informatici contenenti dati personali può presentare problematiche sotto diversi profili – tra le quali, ad esempio, l’esercizio da parte dell’interessato del diritto di rettifica e cancellazione, la determinazione di un periodo certo di data </w:t>
      </w:r>
      <w:proofErr w:type="spellStart"/>
      <w:r w:rsidRPr="00DE62DB">
        <w:rPr>
          <w:rFonts w:ascii="Times New Roman" w:eastAsia="Times New Roman" w:hAnsi="Times New Roman" w:cs="Times New Roman"/>
          <w:sz w:val="24"/>
          <w:szCs w:val="24"/>
          <w:lang w:eastAsia="it-IT"/>
        </w:rPr>
        <w:t>retention</w:t>
      </w:r>
      <w:proofErr w:type="spellEnd"/>
      <w:r w:rsidRPr="00DE62DB">
        <w:rPr>
          <w:rFonts w:ascii="Times New Roman" w:eastAsia="Times New Roman" w:hAnsi="Times New Roman" w:cs="Times New Roman"/>
          <w:sz w:val="24"/>
          <w:szCs w:val="24"/>
          <w:lang w:eastAsia="it-IT"/>
        </w:rPr>
        <w:t xml:space="preserve"> e i trasferimenti di dati personali </w:t>
      </w:r>
      <w:proofErr w:type="spellStart"/>
      <w:r w:rsidRPr="00DE62DB">
        <w:rPr>
          <w:rFonts w:ascii="Times New Roman" w:eastAsia="Times New Roman" w:hAnsi="Times New Roman" w:cs="Times New Roman"/>
          <w:sz w:val="24"/>
          <w:szCs w:val="24"/>
          <w:lang w:eastAsia="it-IT"/>
        </w:rPr>
        <w:t>extra-UE</w:t>
      </w:r>
      <w:proofErr w:type="spellEnd"/>
      <w:r w:rsidRPr="00DE62DB">
        <w:rPr>
          <w:rFonts w:ascii="Times New Roman" w:eastAsia="Times New Roman" w:hAnsi="Times New Roman" w:cs="Times New Roman"/>
          <w:sz w:val="24"/>
          <w:szCs w:val="24"/>
          <w:lang w:eastAsia="it-IT"/>
        </w:rPr>
        <w:t>.</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b/>
          <w:bCs/>
          <w:sz w:val="24"/>
          <w:szCs w:val="24"/>
          <w:lang w:eastAsia="it-IT"/>
        </w:rPr>
        <w:t xml:space="preserve">Smart </w:t>
      </w:r>
      <w:proofErr w:type="spellStart"/>
      <w:r w:rsidRPr="00DE62DB">
        <w:rPr>
          <w:rFonts w:ascii="Times New Roman" w:eastAsia="Times New Roman" w:hAnsi="Times New Roman" w:cs="Times New Roman"/>
          <w:b/>
          <w:bCs/>
          <w:sz w:val="24"/>
          <w:szCs w:val="24"/>
          <w:lang w:eastAsia="it-IT"/>
        </w:rPr>
        <w:t>contract</w:t>
      </w:r>
      <w:proofErr w:type="spellEnd"/>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 xml:space="preserve">Il Decreto Semplificazioni ha inoltre definito lo </w:t>
      </w:r>
      <w:proofErr w:type="spellStart"/>
      <w:r w:rsidRPr="00DE62DB">
        <w:rPr>
          <w:rFonts w:ascii="Times New Roman" w:eastAsia="Times New Roman" w:hAnsi="Times New Roman" w:cs="Times New Roman"/>
          <w:b/>
          <w:bCs/>
          <w:sz w:val="24"/>
          <w:szCs w:val="24"/>
          <w:lang w:eastAsia="it-IT"/>
        </w:rPr>
        <w:t>smart</w:t>
      </w:r>
      <w:proofErr w:type="spellEnd"/>
      <w:r w:rsidRPr="00DE62DB">
        <w:rPr>
          <w:rFonts w:ascii="Times New Roman" w:eastAsia="Times New Roman" w:hAnsi="Times New Roman" w:cs="Times New Roman"/>
          <w:b/>
          <w:bCs/>
          <w:sz w:val="24"/>
          <w:szCs w:val="24"/>
          <w:lang w:eastAsia="it-IT"/>
        </w:rPr>
        <w:t xml:space="preserve"> </w:t>
      </w:r>
      <w:proofErr w:type="spellStart"/>
      <w:r w:rsidRPr="00DE62DB">
        <w:rPr>
          <w:rFonts w:ascii="Times New Roman" w:eastAsia="Times New Roman" w:hAnsi="Times New Roman" w:cs="Times New Roman"/>
          <w:b/>
          <w:bCs/>
          <w:sz w:val="24"/>
          <w:szCs w:val="24"/>
          <w:lang w:eastAsia="it-IT"/>
        </w:rPr>
        <w:t>contract</w:t>
      </w:r>
      <w:proofErr w:type="spellEnd"/>
      <w:r w:rsidRPr="00DE62DB">
        <w:rPr>
          <w:rFonts w:ascii="Times New Roman" w:eastAsia="Times New Roman" w:hAnsi="Times New Roman" w:cs="Times New Roman"/>
          <w:sz w:val="24"/>
          <w:szCs w:val="24"/>
          <w:lang w:eastAsia="it-IT"/>
        </w:rPr>
        <w:t xml:space="preserve"> come il “programma per elaboratore che opera su Tecnologie basate su registri distribuiti e la cui esecuzione vincola automaticamente due o più parti sulla base di effetti predefiniti dalle stesse”.</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 xml:space="preserve">La definizione presenta elementi di potenziale </w:t>
      </w:r>
      <w:r w:rsidRPr="00DE62DB">
        <w:rPr>
          <w:rFonts w:ascii="Times New Roman" w:eastAsia="Times New Roman" w:hAnsi="Times New Roman" w:cs="Times New Roman"/>
          <w:b/>
          <w:bCs/>
          <w:sz w:val="24"/>
          <w:szCs w:val="24"/>
          <w:lang w:eastAsia="it-IT"/>
        </w:rPr>
        <w:t>criticità</w:t>
      </w:r>
      <w:r w:rsidRPr="00DE62DB">
        <w:rPr>
          <w:rFonts w:ascii="Times New Roman" w:eastAsia="Times New Roman" w:hAnsi="Times New Roman" w:cs="Times New Roman"/>
          <w:sz w:val="24"/>
          <w:szCs w:val="24"/>
          <w:lang w:eastAsia="it-IT"/>
        </w:rPr>
        <w:t>, specie laddove indica che è la “</w:t>
      </w:r>
      <w:r w:rsidRPr="00DE62DB">
        <w:rPr>
          <w:rFonts w:ascii="Times New Roman" w:eastAsia="Times New Roman" w:hAnsi="Times New Roman" w:cs="Times New Roman"/>
          <w:b/>
          <w:bCs/>
          <w:sz w:val="24"/>
          <w:szCs w:val="24"/>
          <w:lang w:eastAsia="it-IT"/>
        </w:rPr>
        <w:t>esecuzione</w:t>
      </w:r>
      <w:r w:rsidRPr="00DE62DB">
        <w:rPr>
          <w:rFonts w:ascii="Times New Roman" w:eastAsia="Times New Roman" w:hAnsi="Times New Roman" w:cs="Times New Roman"/>
          <w:sz w:val="24"/>
          <w:szCs w:val="24"/>
          <w:lang w:eastAsia="it-IT"/>
        </w:rPr>
        <w:t xml:space="preserve">” dello </w:t>
      </w:r>
      <w:proofErr w:type="spellStart"/>
      <w:r w:rsidRPr="00DE62DB">
        <w:rPr>
          <w:rFonts w:ascii="Times New Roman" w:eastAsia="Times New Roman" w:hAnsi="Times New Roman" w:cs="Times New Roman"/>
          <w:sz w:val="24"/>
          <w:szCs w:val="24"/>
          <w:lang w:eastAsia="it-IT"/>
        </w:rPr>
        <w:t>smart</w:t>
      </w:r>
      <w:proofErr w:type="spellEnd"/>
      <w:r w:rsidRPr="00DE62DB">
        <w:rPr>
          <w:rFonts w:ascii="Times New Roman" w:eastAsia="Times New Roman" w:hAnsi="Times New Roman" w:cs="Times New Roman"/>
          <w:sz w:val="24"/>
          <w:szCs w:val="24"/>
          <w:lang w:eastAsia="it-IT"/>
        </w:rPr>
        <w:t xml:space="preserve"> </w:t>
      </w:r>
      <w:proofErr w:type="spellStart"/>
      <w:r w:rsidRPr="00DE62DB">
        <w:rPr>
          <w:rFonts w:ascii="Times New Roman" w:eastAsia="Times New Roman" w:hAnsi="Times New Roman" w:cs="Times New Roman"/>
          <w:sz w:val="24"/>
          <w:szCs w:val="24"/>
          <w:lang w:eastAsia="it-IT"/>
        </w:rPr>
        <w:t>contract</w:t>
      </w:r>
      <w:proofErr w:type="spellEnd"/>
      <w:r w:rsidRPr="00DE62DB">
        <w:rPr>
          <w:rFonts w:ascii="Times New Roman" w:eastAsia="Times New Roman" w:hAnsi="Times New Roman" w:cs="Times New Roman"/>
          <w:sz w:val="24"/>
          <w:szCs w:val="24"/>
          <w:lang w:eastAsia="it-IT"/>
        </w:rPr>
        <w:t xml:space="preserve"> a vincolare le parti. </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È noto che l’efficacia vincolante di un contratto discende dall’</w:t>
      </w:r>
      <w:r w:rsidRPr="00DE62DB">
        <w:rPr>
          <w:rFonts w:ascii="Times New Roman" w:eastAsia="Times New Roman" w:hAnsi="Times New Roman" w:cs="Times New Roman"/>
          <w:b/>
          <w:bCs/>
          <w:sz w:val="24"/>
          <w:szCs w:val="24"/>
          <w:lang w:eastAsia="it-IT"/>
        </w:rPr>
        <w:t>accordo</w:t>
      </w:r>
      <w:r w:rsidRPr="00DE62DB">
        <w:rPr>
          <w:rFonts w:ascii="Times New Roman" w:eastAsia="Times New Roman" w:hAnsi="Times New Roman" w:cs="Times New Roman"/>
          <w:sz w:val="24"/>
          <w:szCs w:val="24"/>
          <w:lang w:eastAsia="it-IT"/>
        </w:rPr>
        <w:t xml:space="preserve"> delle parti (art. 1326 c.c.) e non dal momento (successivo e potenzialmente inesistente) connesso alla sua </w:t>
      </w:r>
      <w:r w:rsidRPr="00DE62DB">
        <w:rPr>
          <w:rFonts w:ascii="Times New Roman" w:eastAsia="Times New Roman" w:hAnsi="Times New Roman" w:cs="Times New Roman"/>
          <w:b/>
          <w:bCs/>
          <w:sz w:val="24"/>
          <w:szCs w:val="24"/>
          <w:lang w:eastAsia="it-IT"/>
        </w:rPr>
        <w:t>esecuzione</w:t>
      </w:r>
      <w:r w:rsidRPr="00DE62DB">
        <w:rPr>
          <w:rFonts w:ascii="Times New Roman" w:eastAsia="Times New Roman" w:hAnsi="Times New Roman" w:cs="Times New Roman"/>
          <w:sz w:val="24"/>
          <w:szCs w:val="24"/>
          <w:lang w:eastAsia="it-IT"/>
        </w:rPr>
        <w:t>: e ciò sia che si intenda il concetto “esecuzione” in senso giuridico, come esecuzione della prestazione oggetto del contratto, sia in senso informatico, come atto di eseguire il programma in sé.</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 xml:space="preserve">Agli </w:t>
      </w:r>
      <w:proofErr w:type="spellStart"/>
      <w:r w:rsidRPr="00DE62DB">
        <w:rPr>
          <w:rFonts w:ascii="Times New Roman" w:eastAsia="Times New Roman" w:hAnsi="Times New Roman" w:cs="Times New Roman"/>
          <w:sz w:val="24"/>
          <w:szCs w:val="24"/>
          <w:lang w:eastAsia="it-IT"/>
        </w:rPr>
        <w:t>smart</w:t>
      </w:r>
      <w:proofErr w:type="spellEnd"/>
      <w:r w:rsidRPr="00DE62DB">
        <w:rPr>
          <w:rFonts w:ascii="Times New Roman" w:eastAsia="Times New Roman" w:hAnsi="Times New Roman" w:cs="Times New Roman"/>
          <w:sz w:val="24"/>
          <w:szCs w:val="24"/>
          <w:lang w:eastAsia="it-IT"/>
        </w:rPr>
        <w:t xml:space="preserve"> </w:t>
      </w:r>
      <w:proofErr w:type="spellStart"/>
      <w:r w:rsidRPr="00DE62DB">
        <w:rPr>
          <w:rFonts w:ascii="Times New Roman" w:eastAsia="Times New Roman" w:hAnsi="Times New Roman" w:cs="Times New Roman"/>
          <w:sz w:val="24"/>
          <w:szCs w:val="24"/>
          <w:lang w:eastAsia="it-IT"/>
        </w:rPr>
        <w:t>contract</w:t>
      </w:r>
      <w:proofErr w:type="spellEnd"/>
      <w:r w:rsidRPr="00DE62DB">
        <w:rPr>
          <w:rFonts w:ascii="Times New Roman" w:eastAsia="Times New Roman" w:hAnsi="Times New Roman" w:cs="Times New Roman"/>
          <w:sz w:val="24"/>
          <w:szCs w:val="24"/>
          <w:lang w:eastAsia="it-IT"/>
        </w:rPr>
        <w:t xml:space="preserve"> è riconosciuto il requisito della </w:t>
      </w:r>
      <w:r w:rsidRPr="00DE62DB">
        <w:rPr>
          <w:rFonts w:ascii="Times New Roman" w:eastAsia="Times New Roman" w:hAnsi="Times New Roman" w:cs="Times New Roman"/>
          <w:b/>
          <w:bCs/>
          <w:sz w:val="24"/>
          <w:szCs w:val="24"/>
          <w:lang w:eastAsia="it-IT"/>
        </w:rPr>
        <w:t>forma scritta</w:t>
      </w:r>
      <w:r w:rsidRPr="00DE62DB">
        <w:rPr>
          <w:rFonts w:ascii="Times New Roman" w:eastAsia="Times New Roman" w:hAnsi="Times New Roman" w:cs="Times New Roman"/>
          <w:sz w:val="24"/>
          <w:szCs w:val="24"/>
          <w:lang w:eastAsia="it-IT"/>
        </w:rPr>
        <w:t xml:space="preserve"> “previa identificazione delle parti interessate, attraverso un processo avente i requisiti fissati dall’Agenzia per l’Italia Digitale con linee guida da adottare entro novanta giorni dalla data di entrata in vigore della legge di conversione del presente decreto”.</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 xml:space="preserve">Si tratta, a ben vedere, di una definizione quantomeno superflua, posto che lo </w:t>
      </w:r>
      <w:proofErr w:type="spellStart"/>
      <w:r w:rsidRPr="00DE62DB">
        <w:rPr>
          <w:rFonts w:ascii="Times New Roman" w:eastAsia="Times New Roman" w:hAnsi="Times New Roman" w:cs="Times New Roman"/>
          <w:sz w:val="24"/>
          <w:szCs w:val="24"/>
          <w:lang w:eastAsia="it-IT"/>
        </w:rPr>
        <w:t>smart</w:t>
      </w:r>
      <w:proofErr w:type="spellEnd"/>
      <w:r w:rsidRPr="00DE62DB">
        <w:rPr>
          <w:rFonts w:ascii="Times New Roman" w:eastAsia="Times New Roman" w:hAnsi="Times New Roman" w:cs="Times New Roman"/>
          <w:sz w:val="24"/>
          <w:szCs w:val="24"/>
          <w:lang w:eastAsia="it-IT"/>
        </w:rPr>
        <w:t xml:space="preserve"> </w:t>
      </w:r>
      <w:proofErr w:type="spellStart"/>
      <w:r w:rsidRPr="00DE62DB">
        <w:rPr>
          <w:rFonts w:ascii="Times New Roman" w:eastAsia="Times New Roman" w:hAnsi="Times New Roman" w:cs="Times New Roman"/>
          <w:sz w:val="24"/>
          <w:szCs w:val="24"/>
          <w:lang w:eastAsia="it-IT"/>
        </w:rPr>
        <w:t>contract</w:t>
      </w:r>
      <w:proofErr w:type="spellEnd"/>
      <w:r w:rsidRPr="00DE62DB">
        <w:rPr>
          <w:rFonts w:ascii="Times New Roman" w:eastAsia="Times New Roman" w:hAnsi="Times New Roman" w:cs="Times New Roman"/>
          <w:sz w:val="24"/>
          <w:szCs w:val="24"/>
          <w:lang w:eastAsia="it-IT"/>
        </w:rPr>
        <w:t xml:space="preserve"> già costituisce un </w:t>
      </w:r>
      <w:r w:rsidRPr="00DE62DB">
        <w:rPr>
          <w:rFonts w:ascii="Times New Roman" w:eastAsia="Times New Roman" w:hAnsi="Times New Roman" w:cs="Times New Roman"/>
          <w:b/>
          <w:bCs/>
          <w:sz w:val="24"/>
          <w:szCs w:val="24"/>
          <w:lang w:eastAsia="it-IT"/>
        </w:rPr>
        <w:t>documento informatico</w:t>
      </w:r>
      <w:r w:rsidRPr="00DE62DB">
        <w:rPr>
          <w:rFonts w:ascii="Times New Roman" w:eastAsia="Times New Roman" w:hAnsi="Times New Roman" w:cs="Times New Roman"/>
          <w:sz w:val="24"/>
          <w:szCs w:val="24"/>
          <w:lang w:eastAsia="it-IT"/>
        </w:rPr>
        <w:t xml:space="preserve"> come definito nel Codice dell’Amministrazione Digitale (“documento elettronico che contiene la rappresentazione informatica di atti, fatti o dati giuridicamente rilevanti”) che, ai sensi dell’art. 20, comma 1-bis CAD, “soddisfa il requisito della </w:t>
      </w:r>
      <w:r w:rsidRPr="00DE62DB">
        <w:rPr>
          <w:rFonts w:ascii="Times New Roman" w:eastAsia="Times New Roman" w:hAnsi="Times New Roman" w:cs="Times New Roman"/>
          <w:b/>
          <w:bCs/>
          <w:sz w:val="24"/>
          <w:szCs w:val="24"/>
          <w:lang w:eastAsia="it-IT"/>
        </w:rPr>
        <w:t>forma scritta</w:t>
      </w:r>
      <w:r w:rsidRPr="00DE62DB">
        <w:rPr>
          <w:rFonts w:ascii="Times New Roman" w:eastAsia="Times New Roman" w:hAnsi="Times New Roman" w:cs="Times New Roman"/>
          <w:sz w:val="24"/>
          <w:szCs w:val="24"/>
          <w:lang w:eastAsia="it-IT"/>
        </w:rPr>
        <w:t xml:space="preserve"> e ha l’</w:t>
      </w:r>
      <w:r w:rsidRPr="00DE62DB">
        <w:rPr>
          <w:rFonts w:ascii="Times New Roman" w:eastAsia="Times New Roman" w:hAnsi="Times New Roman" w:cs="Times New Roman"/>
          <w:b/>
          <w:bCs/>
          <w:sz w:val="24"/>
          <w:szCs w:val="24"/>
          <w:lang w:eastAsia="it-IT"/>
        </w:rPr>
        <w:t>efficacia prevista dall’articolo 2702 del codice civile</w:t>
      </w:r>
      <w:r w:rsidRPr="00DE62DB">
        <w:rPr>
          <w:rFonts w:ascii="Times New Roman" w:eastAsia="Times New Roman" w:hAnsi="Times New Roman" w:cs="Times New Roman"/>
          <w:sz w:val="24"/>
          <w:szCs w:val="24"/>
          <w:lang w:eastAsia="it-IT"/>
        </w:rPr>
        <w:t xml:space="preserve"> quando (…) è formato, previa identificazione informatica del suo autore, attraverso un processo avente i requisiti fissati </w:t>
      </w:r>
      <w:r w:rsidRPr="00DE62DB">
        <w:rPr>
          <w:rFonts w:ascii="Times New Roman" w:eastAsia="Times New Roman" w:hAnsi="Times New Roman" w:cs="Times New Roman"/>
          <w:sz w:val="24"/>
          <w:szCs w:val="24"/>
          <w:lang w:eastAsia="it-IT"/>
        </w:rPr>
        <w:lastRenderedPageBreak/>
        <w:t>dall’</w:t>
      </w:r>
      <w:proofErr w:type="spellStart"/>
      <w:r w:rsidRPr="00DE62DB">
        <w:rPr>
          <w:rFonts w:ascii="Times New Roman" w:eastAsia="Times New Roman" w:hAnsi="Times New Roman" w:cs="Times New Roman"/>
          <w:sz w:val="24"/>
          <w:szCs w:val="24"/>
          <w:lang w:eastAsia="it-IT"/>
        </w:rPr>
        <w:t>AgID</w:t>
      </w:r>
      <w:proofErr w:type="spellEnd"/>
      <w:r w:rsidRPr="00DE62DB">
        <w:rPr>
          <w:rFonts w:ascii="Times New Roman" w:eastAsia="Times New Roman" w:hAnsi="Times New Roman" w:cs="Times New Roman"/>
          <w:sz w:val="24"/>
          <w:szCs w:val="24"/>
          <w:lang w:eastAsia="it-IT"/>
        </w:rPr>
        <w:t xml:space="preserve"> ai sensi dell’articolo 71 con modalità tali da garantire la sicurezza, integrità e </w:t>
      </w:r>
      <w:proofErr w:type="spellStart"/>
      <w:r w:rsidRPr="00DE62DB">
        <w:rPr>
          <w:rFonts w:ascii="Times New Roman" w:eastAsia="Times New Roman" w:hAnsi="Times New Roman" w:cs="Times New Roman"/>
          <w:sz w:val="24"/>
          <w:szCs w:val="24"/>
          <w:lang w:eastAsia="it-IT"/>
        </w:rPr>
        <w:t>immodificabilità</w:t>
      </w:r>
      <w:proofErr w:type="spellEnd"/>
      <w:r w:rsidRPr="00DE62DB">
        <w:rPr>
          <w:rFonts w:ascii="Times New Roman" w:eastAsia="Times New Roman" w:hAnsi="Times New Roman" w:cs="Times New Roman"/>
          <w:sz w:val="24"/>
          <w:szCs w:val="24"/>
          <w:lang w:eastAsia="it-IT"/>
        </w:rPr>
        <w:t xml:space="preserve"> del documento e, in maniera manifesta e </w:t>
      </w:r>
      <w:proofErr w:type="spellStart"/>
      <w:r w:rsidRPr="00DE62DB">
        <w:rPr>
          <w:rFonts w:ascii="Times New Roman" w:eastAsia="Times New Roman" w:hAnsi="Times New Roman" w:cs="Times New Roman"/>
          <w:sz w:val="24"/>
          <w:szCs w:val="24"/>
          <w:lang w:eastAsia="it-IT"/>
        </w:rPr>
        <w:t>inequivoca</w:t>
      </w:r>
      <w:proofErr w:type="spellEnd"/>
      <w:r w:rsidRPr="00DE62DB">
        <w:rPr>
          <w:rFonts w:ascii="Times New Roman" w:eastAsia="Times New Roman" w:hAnsi="Times New Roman" w:cs="Times New Roman"/>
          <w:sz w:val="24"/>
          <w:szCs w:val="24"/>
          <w:lang w:eastAsia="it-IT"/>
        </w:rPr>
        <w:t>, la sua riconducibilità all’autore”.</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 xml:space="preserve">Il Decreto Semplificazioni non indica, peraltro, le modalità con le quali lo </w:t>
      </w:r>
      <w:proofErr w:type="spellStart"/>
      <w:r w:rsidRPr="00DE62DB">
        <w:rPr>
          <w:rFonts w:ascii="Times New Roman" w:eastAsia="Times New Roman" w:hAnsi="Times New Roman" w:cs="Times New Roman"/>
          <w:sz w:val="24"/>
          <w:szCs w:val="24"/>
          <w:lang w:eastAsia="it-IT"/>
        </w:rPr>
        <w:t>smart</w:t>
      </w:r>
      <w:proofErr w:type="spellEnd"/>
      <w:r w:rsidRPr="00DE62DB">
        <w:rPr>
          <w:rFonts w:ascii="Times New Roman" w:eastAsia="Times New Roman" w:hAnsi="Times New Roman" w:cs="Times New Roman"/>
          <w:sz w:val="24"/>
          <w:szCs w:val="24"/>
          <w:lang w:eastAsia="it-IT"/>
        </w:rPr>
        <w:t xml:space="preserve"> </w:t>
      </w:r>
      <w:proofErr w:type="spellStart"/>
      <w:r w:rsidRPr="00DE62DB">
        <w:rPr>
          <w:rFonts w:ascii="Times New Roman" w:eastAsia="Times New Roman" w:hAnsi="Times New Roman" w:cs="Times New Roman"/>
          <w:sz w:val="24"/>
          <w:szCs w:val="24"/>
          <w:lang w:eastAsia="it-IT"/>
        </w:rPr>
        <w:t>contract</w:t>
      </w:r>
      <w:proofErr w:type="spellEnd"/>
      <w:r w:rsidRPr="00DE62DB">
        <w:rPr>
          <w:rFonts w:ascii="Times New Roman" w:eastAsia="Times New Roman" w:hAnsi="Times New Roman" w:cs="Times New Roman"/>
          <w:sz w:val="24"/>
          <w:szCs w:val="24"/>
          <w:lang w:eastAsia="it-IT"/>
        </w:rPr>
        <w:t xml:space="preserve"> possa ottenere, </w:t>
      </w:r>
      <w:proofErr w:type="spellStart"/>
      <w:r w:rsidRPr="00DE62DB">
        <w:rPr>
          <w:rFonts w:ascii="Times New Roman" w:eastAsia="Times New Roman" w:hAnsi="Times New Roman" w:cs="Times New Roman"/>
          <w:sz w:val="24"/>
          <w:szCs w:val="24"/>
          <w:lang w:eastAsia="it-IT"/>
        </w:rPr>
        <w:t>oltra</w:t>
      </w:r>
      <w:proofErr w:type="spellEnd"/>
      <w:r w:rsidRPr="00DE62DB">
        <w:rPr>
          <w:rFonts w:ascii="Times New Roman" w:eastAsia="Times New Roman" w:hAnsi="Times New Roman" w:cs="Times New Roman"/>
          <w:sz w:val="24"/>
          <w:szCs w:val="24"/>
          <w:lang w:eastAsia="it-IT"/>
        </w:rPr>
        <w:t xml:space="preserve"> alla forma scritta, lo status di </w:t>
      </w:r>
      <w:r w:rsidRPr="00DE62DB">
        <w:rPr>
          <w:rFonts w:ascii="Times New Roman" w:eastAsia="Times New Roman" w:hAnsi="Times New Roman" w:cs="Times New Roman"/>
          <w:b/>
          <w:bCs/>
          <w:sz w:val="24"/>
          <w:szCs w:val="24"/>
          <w:lang w:eastAsia="it-IT"/>
        </w:rPr>
        <w:t>scrittura privata</w:t>
      </w:r>
      <w:r w:rsidRPr="00DE62DB">
        <w:rPr>
          <w:rFonts w:ascii="Times New Roman" w:eastAsia="Times New Roman" w:hAnsi="Times New Roman" w:cs="Times New Roman"/>
          <w:sz w:val="24"/>
          <w:szCs w:val="24"/>
          <w:lang w:eastAsia="it-IT"/>
        </w:rPr>
        <w:t xml:space="preserve"> ex art. 2702 c.c.</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 xml:space="preserve">Lo </w:t>
      </w:r>
      <w:proofErr w:type="spellStart"/>
      <w:r w:rsidRPr="00DE62DB">
        <w:rPr>
          <w:rFonts w:ascii="Times New Roman" w:eastAsia="Times New Roman" w:hAnsi="Times New Roman" w:cs="Times New Roman"/>
          <w:sz w:val="24"/>
          <w:szCs w:val="24"/>
          <w:lang w:eastAsia="it-IT"/>
        </w:rPr>
        <w:t>smart</w:t>
      </w:r>
      <w:proofErr w:type="spellEnd"/>
      <w:r w:rsidRPr="00DE62DB">
        <w:rPr>
          <w:rFonts w:ascii="Times New Roman" w:eastAsia="Times New Roman" w:hAnsi="Times New Roman" w:cs="Times New Roman"/>
          <w:sz w:val="24"/>
          <w:szCs w:val="24"/>
          <w:lang w:eastAsia="it-IT"/>
        </w:rPr>
        <w:t xml:space="preserve"> </w:t>
      </w:r>
      <w:proofErr w:type="spellStart"/>
      <w:r w:rsidRPr="00DE62DB">
        <w:rPr>
          <w:rFonts w:ascii="Times New Roman" w:eastAsia="Times New Roman" w:hAnsi="Times New Roman" w:cs="Times New Roman"/>
          <w:sz w:val="24"/>
          <w:szCs w:val="24"/>
          <w:lang w:eastAsia="it-IT"/>
        </w:rPr>
        <w:t>contract</w:t>
      </w:r>
      <w:proofErr w:type="spellEnd"/>
      <w:r w:rsidRPr="00DE62DB">
        <w:rPr>
          <w:rFonts w:ascii="Times New Roman" w:eastAsia="Times New Roman" w:hAnsi="Times New Roman" w:cs="Times New Roman"/>
          <w:sz w:val="24"/>
          <w:szCs w:val="24"/>
          <w:lang w:eastAsia="it-IT"/>
        </w:rPr>
        <w:t xml:space="preserve"> formato esclusivamente mediante l’identificazione delle parti interessate attraverso il procedimento che verrà delineato dall’</w:t>
      </w:r>
      <w:proofErr w:type="spellStart"/>
      <w:r w:rsidRPr="00DE62DB">
        <w:rPr>
          <w:rFonts w:ascii="Times New Roman" w:eastAsia="Times New Roman" w:hAnsi="Times New Roman" w:cs="Times New Roman"/>
          <w:sz w:val="24"/>
          <w:szCs w:val="24"/>
          <w:lang w:eastAsia="it-IT"/>
        </w:rPr>
        <w:t>AgID</w:t>
      </w:r>
      <w:proofErr w:type="spellEnd"/>
      <w:r w:rsidRPr="00DE62DB">
        <w:rPr>
          <w:rFonts w:ascii="Times New Roman" w:eastAsia="Times New Roman" w:hAnsi="Times New Roman" w:cs="Times New Roman"/>
          <w:sz w:val="24"/>
          <w:szCs w:val="24"/>
          <w:lang w:eastAsia="it-IT"/>
        </w:rPr>
        <w:t xml:space="preserve"> – come previsto dal Decreto Semplificazioni – potrebbe quindi conferire forma scritta allo </w:t>
      </w:r>
      <w:proofErr w:type="spellStart"/>
      <w:r w:rsidRPr="00DE62DB">
        <w:rPr>
          <w:rFonts w:ascii="Times New Roman" w:eastAsia="Times New Roman" w:hAnsi="Times New Roman" w:cs="Times New Roman"/>
          <w:sz w:val="24"/>
          <w:szCs w:val="24"/>
          <w:lang w:eastAsia="it-IT"/>
        </w:rPr>
        <w:t>smart</w:t>
      </w:r>
      <w:proofErr w:type="spellEnd"/>
      <w:r w:rsidRPr="00DE62DB">
        <w:rPr>
          <w:rFonts w:ascii="Times New Roman" w:eastAsia="Times New Roman" w:hAnsi="Times New Roman" w:cs="Times New Roman"/>
          <w:sz w:val="24"/>
          <w:szCs w:val="24"/>
          <w:lang w:eastAsia="it-IT"/>
        </w:rPr>
        <w:t xml:space="preserve"> </w:t>
      </w:r>
      <w:proofErr w:type="spellStart"/>
      <w:r w:rsidRPr="00DE62DB">
        <w:rPr>
          <w:rFonts w:ascii="Times New Roman" w:eastAsia="Times New Roman" w:hAnsi="Times New Roman" w:cs="Times New Roman"/>
          <w:sz w:val="24"/>
          <w:szCs w:val="24"/>
          <w:lang w:eastAsia="it-IT"/>
        </w:rPr>
        <w:t>contract</w:t>
      </w:r>
      <w:proofErr w:type="spellEnd"/>
      <w:r w:rsidRPr="00DE62DB">
        <w:rPr>
          <w:rFonts w:ascii="Times New Roman" w:eastAsia="Times New Roman" w:hAnsi="Times New Roman" w:cs="Times New Roman"/>
          <w:sz w:val="24"/>
          <w:szCs w:val="24"/>
          <w:lang w:eastAsia="it-IT"/>
        </w:rPr>
        <w:t xml:space="preserve">, senza farlo rientrare nel novero delle scritture private, con la conseguenza che il relativo valore probatorio dello </w:t>
      </w:r>
      <w:proofErr w:type="spellStart"/>
      <w:r w:rsidRPr="00DE62DB">
        <w:rPr>
          <w:rFonts w:ascii="Times New Roman" w:eastAsia="Times New Roman" w:hAnsi="Times New Roman" w:cs="Times New Roman"/>
          <w:sz w:val="24"/>
          <w:szCs w:val="24"/>
          <w:lang w:eastAsia="it-IT"/>
        </w:rPr>
        <w:t>smart</w:t>
      </w:r>
      <w:proofErr w:type="spellEnd"/>
      <w:r w:rsidRPr="00DE62DB">
        <w:rPr>
          <w:rFonts w:ascii="Times New Roman" w:eastAsia="Times New Roman" w:hAnsi="Times New Roman" w:cs="Times New Roman"/>
          <w:sz w:val="24"/>
          <w:szCs w:val="24"/>
          <w:lang w:eastAsia="it-IT"/>
        </w:rPr>
        <w:t xml:space="preserve"> </w:t>
      </w:r>
      <w:proofErr w:type="spellStart"/>
      <w:r w:rsidRPr="00DE62DB">
        <w:rPr>
          <w:rFonts w:ascii="Times New Roman" w:eastAsia="Times New Roman" w:hAnsi="Times New Roman" w:cs="Times New Roman"/>
          <w:sz w:val="24"/>
          <w:szCs w:val="24"/>
          <w:lang w:eastAsia="it-IT"/>
        </w:rPr>
        <w:t>contract</w:t>
      </w:r>
      <w:proofErr w:type="spellEnd"/>
      <w:r w:rsidRPr="00DE62DB">
        <w:rPr>
          <w:rFonts w:ascii="Times New Roman" w:eastAsia="Times New Roman" w:hAnsi="Times New Roman" w:cs="Times New Roman"/>
          <w:sz w:val="24"/>
          <w:szCs w:val="24"/>
          <w:lang w:eastAsia="it-IT"/>
        </w:rPr>
        <w:t xml:space="preserve"> sarebbe così “</w:t>
      </w:r>
      <w:r w:rsidRPr="00DE62DB">
        <w:rPr>
          <w:rFonts w:ascii="Times New Roman" w:eastAsia="Times New Roman" w:hAnsi="Times New Roman" w:cs="Times New Roman"/>
          <w:b/>
          <w:bCs/>
          <w:sz w:val="24"/>
          <w:szCs w:val="24"/>
          <w:lang w:eastAsia="it-IT"/>
        </w:rPr>
        <w:t>liberamente valutabile in giudizio</w:t>
      </w:r>
      <w:r w:rsidRPr="00DE62DB">
        <w:rPr>
          <w:rFonts w:ascii="Times New Roman" w:eastAsia="Times New Roman" w:hAnsi="Times New Roman" w:cs="Times New Roman"/>
          <w:sz w:val="24"/>
          <w:szCs w:val="24"/>
          <w:lang w:eastAsia="it-IT"/>
        </w:rPr>
        <w:t xml:space="preserve">, in relazione alle caratteristiche di sicurezza, integrità e </w:t>
      </w:r>
      <w:proofErr w:type="spellStart"/>
      <w:r w:rsidRPr="00DE62DB">
        <w:rPr>
          <w:rFonts w:ascii="Times New Roman" w:eastAsia="Times New Roman" w:hAnsi="Times New Roman" w:cs="Times New Roman"/>
          <w:sz w:val="24"/>
          <w:szCs w:val="24"/>
          <w:lang w:eastAsia="it-IT"/>
        </w:rPr>
        <w:t>immodificabilità</w:t>
      </w:r>
      <w:proofErr w:type="spellEnd"/>
      <w:r w:rsidRPr="00DE62DB">
        <w:rPr>
          <w:rFonts w:ascii="Times New Roman" w:eastAsia="Times New Roman" w:hAnsi="Times New Roman" w:cs="Times New Roman"/>
          <w:sz w:val="24"/>
          <w:szCs w:val="24"/>
          <w:lang w:eastAsia="it-IT"/>
        </w:rPr>
        <w:t>” (art. 20, comma 1-bis CAD).</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 xml:space="preserve">In caso di valutazione negativa da parte del giudice, si giungerebbe al risultato paradossale di confinare lo </w:t>
      </w:r>
      <w:proofErr w:type="spellStart"/>
      <w:r w:rsidRPr="00DE62DB">
        <w:rPr>
          <w:rFonts w:ascii="Times New Roman" w:eastAsia="Times New Roman" w:hAnsi="Times New Roman" w:cs="Times New Roman"/>
          <w:sz w:val="24"/>
          <w:szCs w:val="24"/>
          <w:lang w:eastAsia="it-IT"/>
        </w:rPr>
        <w:t>smart</w:t>
      </w:r>
      <w:proofErr w:type="spellEnd"/>
      <w:r w:rsidRPr="00DE62DB">
        <w:rPr>
          <w:rFonts w:ascii="Times New Roman" w:eastAsia="Times New Roman" w:hAnsi="Times New Roman" w:cs="Times New Roman"/>
          <w:sz w:val="24"/>
          <w:szCs w:val="24"/>
          <w:lang w:eastAsia="it-IT"/>
        </w:rPr>
        <w:t xml:space="preserve"> </w:t>
      </w:r>
      <w:proofErr w:type="spellStart"/>
      <w:r w:rsidRPr="00DE62DB">
        <w:rPr>
          <w:rFonts w:ascii="Times New Roman" w:eastAsia="Times New Roman" w:hAnsi="Times New Roman" w:cs="Times New Roman"/>
          <w:sz w:val="24"/>
          <w:szCs w:val="24"/>
          <w:lang w:eastAsia="it-IT"/>
        </w:rPr>
        <w:t>contract</w:t>
      </w:r>
      <w:proofErr w:type="spellEnd"/>
      <w:r w:rsidRPr="00DE62DB">
        <w:rPr>
          <w:rFonts w:ascii="Times New Roman" w:eastAsia="Times New Roman" w:hAnsi="Times New Roman" w:cs="Times New Roman"/>
          <w:sz w:val="24"/>
          <w:szCs w:val="24"/>
          <w:lang w:eastAsia="it-IT"/>
        </w:rPr>
        <w:t xml:space="preserve"> nell’alveo dei documenti non sottoscritti, che non hanno “valore giuridico formale e non producono, quindi, effetti sostanziali e probatori” (Cass. Civ. Sez. II </w:t>
      </w:r>
      <w:proofErr w:type="spellStart"/>
      <w:r w:rsidRPr="00DE62DB">
        <w:rPr>
          <w:rFonts w:ascii="Times New Roman" w:eastAsia="Times New Roman" w:hAnsi="Times New Roman" w:cs="Times New Roman"/>
          <w:sz w:val="24"/>
          <w:szCs w:val="24"/>
          <w:lang w:eastAsia="it-IT"/>
        </w:rPr>
        <w:t>Ord</w:t>
      </w:r>
      <w:proofErr w:type="spellEnd"/>
      <w:r w:rsidRPr="00DE62DB">
        <w:rPr>
          <w:rFonts w:ascii="Times New Roman" w:eastAsia="Times New Roman" w:hAnsi="Times New Roman" w:cs="Times New Roman"/>
          <w:sz w:val="24"/>
          <w:szCs w:val="24"/>
          <w:lang w:eastAsia="it-IT"/>
        </w:rPr>
        <w:t>., 29/11/2018, n. 30948).</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Il coordinamento tra le previsioni del Decreto Semplificazioni e la normativa in materia di documenti informatici e firme elettroniche contenuta nel CAD – demandata alla regolamentazione di secondo livello dell’</w:t>
      </w:r>
      <w:proofErr w:type="spellStart"/>
      <w:r w:rsidRPr="00DE62DB">
        <w:rPr>
          <w:rFonts w:ascii="Times New Roman" w:eastAsia="Times New Roman" w:hAnsi="Times New Roman" w:cs="Times New Roman"/>
          <w:sz w:val="24"/>
          <w:szCs w:val="24"/>
          <w:lang w:eastAsia="it-IT"/>
        </w:rPr>
        <w:t>AgID</w:t>
      </w:r>
      <w:proofErr w:type="spellEnd"/>
      <w:r w:rsidRPr="00DE62DB">
        <w:rPr>
          <w:rFonts w:ascii="Times New Roman" w:eastAsia="Times New Roman" w:hAnsi="Times New Roman" w:cs="Times New Roman"/>
          <w:sz w:val="24"/>
          <w:szCs w:val="24"/>
          <w:lang w:eastAsia="it-IT"/>
        </w:rPr>
        <w:t xml:space="preserve"> – rappresenta un punto di fondamentale importanza per lo sviluppo della tecnologia </w:t>
      </w:r>
      <w:proofErr w:type="spellStart"/>
      <w:r w:rsidRPr="00DE62DB">
        <w:rPr>
          <w:rFonts w:ascii="Times New Roman" w:eastAsia="Times New Roman" w:hAnsi="Times New Roman" w:cs="Times New Roman"/>
          <w:sz w:val="24"/>
          <w:szCs w:val="24"/>
          <w:lang w:eastAsia="it-IT"/>
        </w:rPr>
        <w:t>blockchain</w:t>
      </w:r>
      <w:proofErr w:type="spellEnd"/>
      <w:r w:rsidRPr="00DE62DB">
        <w:rPr>
          <w:rFonts w:ascii="Times New Roman" w:eastAsia="Times New Roman" w:hAnsi="Times New Roman" w:cs="Times New Roman"/>
          <w:sz w:val="24"/>
          <w:szCs w:val="24"/>
          <w:lang w:eastAsia="it-IT"/>
        </w:rPr>
        <w:t>, così come il prezioso lavoro di standardizzazione attualmente in corso da parte di organizzazioni quali CEN/CENELEC e il Comitato ISO/TC 307.</w:t>
      </w:r>
    </w:p>
    <w:p w:rsidR="00DE62DB" w:rsidRPr="00DE62DB" w:rsidRDefault="00DE62DB" w:rsidP="00DE62DB">
      <w:pPr>
        <w:spacing w:before="100" w:beforeAutospacing="1" w:after="100" w:afterAutospacing="1"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 xml:space="preserve">Legge 11 febbraio 2019, n. 12 (in (GU n. 36 del 12-2-2019) </w:t>
      </w:r>
    </w:p>
    <w:p w:rsidR="00DE62DB" w:rsidRPr="00DE62DB" w:rsidRDefault="00DE62DB" w:rsidP="00DE62DB">
      <w:pPr>
        <w:spacing w:after="0" w:line="240" w:lineRule="auto"/>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pict>
          <v:rect id="_x0000_i1026" style="width:0;height:1.5pt" o:hralign="center" o:hrstd="t" o:hr="t" fillcolor="#a0a0a0" stroked="f"/>
        </w:pict>
      </w:r>
    </w:p>
    <w:p w:rsidR="00DE62DB" w:rsidRPr="00DE62DB" w:rsidRDefault="00DE62DB" w:rsidP="00DE62DB">
      <w:pPr>
        <w:spacing w:after="100" w:line="240" w:lineRule="auto"/>
        <w:jc w:val="center"/>
        <w:rPr>
          <w:rFonts w:ascii="Times New Roman" w:eastAsia="Times New Roman" w:hAnsi="Times New Roman" w:cs="Times New Roman"/>
          <w:sz w:val="24"/>
          <w:szCs w:val="24"/>
          <w:lang w:eastAsia="it-IT"/>
        </w:rPr>
      </w:pPr>
      <w:r w:rsidRPr="00DE62DB">
        <w:rPr>
          <w:rFonts w:ascii="Times New Roman" w:eastAsia="Times New Roman" w:hAnsi="Times New Roman" w:cs="Times New Roman"/>
          <w:sz w:val="24"/>
          <w:szCs w:val="24"/>
          <w:lang w:eastAsia="it-IT"/>
        </w:rPr>
        <w:t xml:space="preserve">Copyright 2013 </w:t>
      </w:r>
      <w:proofErr w:type="spellStart"/>
      <w:r w:rsidRPr="00DE62DB">
        <w:rPr>
          <w:rFonts w:ascii="Times New Roman" w:eastAsia="Times New Roman" w:hAnsi="Times New Roman" w:cs="Times New Roman"/>
          <w:sz w:val="24"/>
          <w:szCs w:val="24"/>
          <w:lang w:eastAsia="it-IT"/>
        </w:rPr>
        <w:t>Wolters</w:t>
      </w:r>
      <w:proofErr w:type="spellEnd"/>
      <w:r w:rsidRPr="00DE62DB">
        <w:rPr>
          <w:rFonts w:ascii="Times New Roman" w:eastAsia="Times New Roman" w:hAnsi="Times New Roman" w:cs="Times New Roman"/>
          <w:sz w:val="24"/>
          <w:szCs w:val="24"/>
          <w:lang w:eastAsia="it-IT"/>
        </w:rPr>
        <w:t xml:space="preserve"> </w:t>
      </w:r>
      <w:proofErr w:type="spellStart"/>
      <w:r w:rsidRPr="00DE62DB">
        <w:rPr>
          <w:rFonts w:ascii="Times New Roman" w:eastAsia="Times New Roman" w:hAnsi="Times New Roman" w:cs="Times New Roman"/>
          <w:sz w:val="24"/>
          <w:szCs w:val="24"/>
          <w:lang w:eastAsia="it-IT"/>
        </w:rPr>
        <w:t>Kluwer</w:t>
      </w:r>
      <w:proofErr w:type="spellEnd"/>
      <w:r w:rsidRPr="00DE62DB">
        <w:rPr>
          <w:rFonts w:ascii="Times New Roman" w:eastAsia="Times New Roman" w:hAnsi="Times New Roman" w:cs="Times New Roman"/>
          <w:sz w:val="24"/>
          <w:szCs w:val="24"/>
          <w:lang w:eastAsia="it-IT"/>
        </w:rPr>
        <w:t xml:space="preserve"> Italia Srl - Tutti i diritti riservati</w:t>
      </w:r>
      <w:r w:rsidRPr="00DE62DB">
        <w:rPr>
          <w:rFonts w:ascii="Times New Roman" w:eastAsia="Times New Roman" w:hAnsi="Times New Roman" w:cs="Times New Roman"/>
          <w:sz w:val="24"/>
          <w:szCs w:val="24"/>
          <w:lang w:eastAsia="it-IT"/>
        </w:rPr>
        <w:br/>
        <w:t xml:space="preserve">UTET Giuridica® è un marchio registrato e concesso in licenza da De Agostini Editore S.p.A. a </w:t>
      </w:r>
      <w:proofErr w:type="spellStart"/>
      <w:r w:rsidRPr="00DE62DB">
        <w:rPr>
          <w:rFonts w:ascii="Times New Roman" w:eastAsia="Times New Roman" w:hAnsi="Times New Roman" w:cs="Times New Roman"/>
          <w:sz w:val="24"/>
          <w:szCs w:val="24"/>
          <w:lang w:eastAsia="it-IT"/>
        </w:rPr>
        <w:t>Wolters</w:t>
      </w:r>
      <w:proofErr w:type="spellEnd"/>
      <w:r w:rsidRPr="00DE62DB">
        <w:rPr>
          <w:rFonts w:ascii="Times New Roman" w:eastAsia="Times New Roman" w:hAnsi="Times New Roman" w:cs="Times New Roman"/>
          <w:sz w:val="24"/>
          <w:szCs w:val="24"/>
          <w:lang w:eastAsia="it-IT"/>
        </w:rPr>
        <w:t xml:space="preserve"> </w:t>
      </w:r>
      <w:proofErr w:type="spellStart"/>
      <w:r w:rsidRPr="00DE62DB">
        <w:rPr>
          <w:rFonts w:ascii="Times New Roman" w:eastAsia="Times New Roman" w:hAnsi="Times New Roman" w:cs="Times New Roman"/>
          <w:sz w:val="24"/>
          <w:szCs w:val="24"/>
          <w:lang w:eastAsia="it-IT"/>
        </w:rPr>
        <w:t>Kluwer</w:t>
      </w:r>
      <w:proofErr w:type="spellEnd"/>
      <w:r w:rsidRPr="00DE62DB">
        <w:rPr>
          <w:rFonts w:ascii="Times New Roman" w:eastAsia="Times New Roman" w:hAnsi="Times New Roman" w:cs="Times New Roman"/>
          <w:sz w:val="24"/>
          <w:szCs w:val="24"/>
          <w:lang w:eastAsia="it-IT"/>
        </w:rPr>
        <w:t xml:space="preserve"> Italia S.r.l.</w:t>
      </w:r>
    </w:p>
    <w:p w:rsidR="00422BE3" w:rsidRDefault="00422BE3"/>
    <w:sectPr w:rsidR="00422BE3" w:rsidSect="00422BE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proofState w:spelling="clean"/>
  <w:defaultTabStop w:val="708"/>
  <w:hyphenationZone w:val="283"/>
  <w:characterSpacingControl w:val="doNotCompress"/>
  <w:compat/>
  <w:rsids>
    <w:rsidRoot w:val="00DE62DB"/>
    <w:rsid w:val="00422BE3"/>
    <w:rsid w:val="00DE62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2B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E62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etto">
    <w:name w:val="quotidiano_titoletto"/>
    <w:basedOn w:val="Normale"/>
    <w:rsid w:val="00DE62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E62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62DB"/>
    <w:rPr>
      <w:rFonts w:ascii="Tahoma" w:hAnsi="Tahoma" w:cs="Tahoma"/>
      <w:sz w:val="16"/>
      <w:szCs w:val="16"/>
    </w:rPr>
  </w:style>
  <w:style w:type="paragraph" w:customStyle="1" w:styleId="provvestremo">
    <w:name w:val="provv_estremo"/>
    <w:basedOn w:val="Normale"/>
    <w:rsid w:val="00DE62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nchorantimarker">
    <w:name w:val="anchor_anti_marker"/>
    <w:basedOn w:val="Carpredefinitoparagrafo"/>
    <w:rsid w:val="00DE62DB"/>
  </w:style>
  <w:style w:type="character" w:styleId="Collegamentoipertestuale">
    <w:name w:val="Hyperlink"/>
    <w:basedOn w:val="Carpredefinitoparagrafo"/>
    <w:uiPriority w:val="99"/>
    <w:semiHidden/>
    <w:unhideWhenUsed/>
    <w:rsid w:val="00DE62DB"/>
    <w:rPr>
      <w:color w:val="0000FF"/>
      <w:u w:val="single"/>
    </w:rPr>
  </w:style>
  <w:style w:type="paragraph" w:customStyle="1" w:styleId="provvr0">
    <w:name w:val="provv_r0"/>
    <w:basedOn w:val="Normale"/>
    <w:rsid w:val="00DE62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testo-note">
    <w:name w:val="sep-testo-note"/>
    <w:basedOn w:val="Normale"/>
    <w:rsid w:val="00DE62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DE62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E62DB"/>
  </w:style>
  <w:style w:type="character" w:customStyle="1" w:styleId="provvnumart">
    <w:name w:val="provv_numart"/>
    <w:basedOn w:val="Carpredefinitoparagrafo"/>
    <w:rsid w:val="00DE62DB"/>
  </w:style>
  <w:style w:type="character" w:customStyle="1" w:styleId="provvrubrica">
    <w:name w:val="provv_rubrica"/>
    <w:basedOn w:val="Carpredefinitoparagrafo"/>
    <w:rsid w:val="00DE62DB"/>
  </w:style>
  <w:style w:type="character" w:customStyle="1" w:styleId="provvnumcomma">
    <w:name w:val="provv_numcomma"/>
    <w:basedOn w:val="Carpredefinitoparagrafo"/>
    <w:rsid w:val="00DE62DB"/>
  </w:style>
</w:styles>
</file>

<file path=word/webSettings.xml><?xml version="1.0" encoding="utf-8"?>
<w:webSettings xmlns:r="http://schemas.openxmlformats.org/officeDocument/2006/relationships" xmlns:w="http://schemas.openxmlformats.org/wordprocessingml/2006/main">
  <w:divs>
    <w:div w:id="964386706">
      <w:bodyDiv w:val="1"/>
      <w:marLeft w:val="0"/>
      <w:marRight w:val="0"/>
      <w:marTop w:val="0"/>
      <w:marBottom w:val="0"/>
      <w:divBdr>
        <w:top w:val="none" w:sz="0" w:space="0" w:color="auto"/>
        <w:left w:val="none" w:sz="0" w:space="0" w:color="auto"/>
        <w:bottom w:val="none" w:sz="0" w:space="0" w:color="auto"/>
        <w:right w:val="none" w:sz="0" w:space="0" w:color="auto"/>
      </w:divBdr>
    </w:div>
    <w:div w:id="1392268014">
      <w:bodyDiv w:val="1"/>
      <w:marLeft w:val="0"/>
      <w:marRight w:val="0"/>
      <w:marTop w:val="0"/>
      <w:marBottom w:val="0"/>
      <w:divBdr>
        <w:top w:val="none" w:sz="0" w:space="0" w:color="auto"/>
        <w:left w:val="none" w:sz="0" w:space="0" w:color="auto"/>
        <w:bottom w:val="none" w:sz="0" w:space="0" w:color="auto"/>
        <w:right w:val="none" w:sz="0" w:space="0" w:color="auto"/>
      </w:divBdr>
    </w:div>
    <w:div w:id="1647858988">
      <w:bodyDiv w:val="1"/>
      <w:marLeft w:val="0"/>
      <w:marRight w:val="0"/>
      <w:marTop w:val="0"/>
      <w:marBottom w:val="0"/>
      <w:divBdr>
        <w:top w:val="none" w:sz="0" w:space="0" w:color="auto"/>
        <w:left w:val="none" w:sz="0" w:space="0" w:color="auto"/>
        <w:bottom w:val="none" w:sz="0" w:space="0" w:color="auto"/>
        <w:right w:val="none" w:sz="0" w:space="0" w:color="auto"/>
      </w:divBdr>
      <w:divsChild>
        <w:div w:id="1232157169">
          <w:marLeft w:val="0"/>
          <w:marRight w:val="0"/>
          <w:marTop w:val="0"/>
          <w:marBottom w:val="0"/>
          <w:divBdr>
            <w:top w:val="none" w:sz="0" w:space="0" w:color="auto"/>
            <w:left w:val="none" w:sz="0" w:space="0" w:color="auto"/>
            <w:bottom w:val="none" w:sz="0" w:space="0" w:color="auto"/>
            <w:right w:val="none" w:sz="0" w:space="0" w:color="auto"/>
          </w:divBdr>
          <w:divsChild>
            <w:div w:id="1265072292">
              <w:marLeft w:val="0"/>
              <w:marRight w:val="0"/>
              <w:marTop w:val="0"/>
              <w:marBottom w:val="0"/>
              <w:divBdr>
                <w:top w:val="none" w:sz="0" w:space="0" w:color="auto"/>
                <w:left w:val="none" w:sz="0" w:space="0" w:color="auto"/>
                <w:bottom w:val="none" w:sz="0" w:space="0" w:color="auto"/>
                <w:right w:val="none" w:sz="0" w:space="0" w:color="auto"/>
              </w:divBdr>
            </w:div>
          </w:divsChild>
        </w:div>
        <w:div w:id="1966619518">
          <w:marLeft w:val="0"/>
          <w:marRight w:val="0"/>
          <w:marTop w:val="0"/>
          <w:marBottom w:val="0"/>
          <w:divBdr>
            <w:top w:val="none" w:sz="0" w:space="0" w:color="auto"/>
            <w:left w:val="none" w:sz="0" w:space="0" w:color="auto"/>
            <w:bottom w:val="none" w:sz="0" w:space="0" w:color="auto"/>
            <w:right w:val="none" w:sz="0" w:space="0" w:color="auto"/>
          </w:divBdr>
          <w:divsChild>
            <w:div w:id="865945238">
              <w:marLeft w:val="0"/>
              <w:marRight w:val="0"/>
              <w:marTop w:val="0"/>
              <w:marBottom w:val="0"/>
              <w:divBdr>
                <w:top w:val="none" w:sz="0" w:space="0" w:color="auto"/>
                <w:left w:val="none" w:sz="0" w:space="0" w:color="auto"/>
                <w:bottom w:val="none" w:sz="0" w:space="0" w:color="auto"/>
                <w:right w:val="none" w:sz="0" w:space="0" w:color="auto"/>
              </w:divBdr>
              <w:divsChild>
                <w:div w:id="2060011193">
                  <w:marLeft w:val="0"/>
                  <w:marRight w:val="0"/>
                  <w:marTop w:val="0"/>
                  <w:marBottom w:val="0"/>
                  <w:divBdr>
                    <w:top w:val="none" w:sz="0" w:space="0" w:color="auto"/>
                    <w:left w:val="none" w:sz="0" w:space="0" w:color="auto"/>
                    <w:bottom w:val="none" w:sz="0" w:space="0" w:color="auto"/>
                    <w:right w:val="none" w:sz="0" w:space="0" w:color="auto"/>
                  </w:divBdr>
                </w:div>
                <w:div w:id="1024599953">
                  <w:marLeft w:val="0"/>
                  <w:marRight w:val="0"/>
                  <w:marTop w:val="0"/>
                  <w:marBottom w:val="0"/>
                  <w:divBdr>
                    <w:top w:val="none" w:sz="0" w:space="0" w:color="auto"/>
                    <w:left w:val="none" w:sz="0" w:space="0" w:color="auto"/>
                    <w:bottom w:val="none" w:sz="0" w:space="0" w:color="auto"/>
                    <w:right w:val="none" w:sz="0" w:space="0" w:color="auto"/>
                  </w:divBdr>
                </w:div>
                <w:div w:id="193084063">
                  <w:marLeft w:val="0"/>
                  <w:marRight w:val="0"/>
                  <w:marTop w:val="0"/>
                  <w:marBottom w:val="0"/>
                  <w:divBdr>
                    <w:top w:val="none" w:sz="0" w:space="0" w:color="auto"/>
                    <w:left w:val="none" w:sz="0" w:space="0" w:color="auto"/>
                    <w:bottom w:val="none" w:sz="0" w:space="0" w:color="auto"/>
                    <w:right w:val="none" w:sz="0" w:space="0" w:color="auto"/>
                  </w:divBdr>
                </w:div>
                <w:div w:id="1958758532">
                  <w:marLeft w:val="0"/>
                  <w:marRight w:val="0"/>
                  <w:marTop w:val="0"/>
                  <w:marBottom w:val="0"/>
                  <w:divBdr>
                    <w:top w:val="none" w:sz="0" w:space="0" w:color="auto"/>
                    <w:left w:val="none" w:sz="0" w:space="0" w:color="auto"/>
                    <w:bottom w:val="none" w:sz="0" w:space="0" w:color="auto"/>
                    <w:right w:val="none" w:sz="0" w:space="0" w:color="auto"/>
                  </w:divBdr>
                </w:div>
                <w:div w:id="21324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448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jump_module('bd',%7bmask:'main',opera:'61',id:'61LX0000873242ART0',key:'61LX0000873242ART0',%20callerTicket:%20'',%20userKey:%20'',_menu:'home',kind:''%7d)" TargetMode="External"/><Relationship Id="rId5" Type="http://schemas.openxmlformats.org/officeDocument/2006/relationships/hyperlink" Target="javascript:jump_module('bd',%7bmask:'main',opera:'07',id:'07LX0000803530ART95',key:'07LX0000803530ART95',%20callerTicket:%20'',%20userKey:%20'',_menu:'home',kind:''%7d)" TargetMode="External"/><Relationship Id="rId4" Type="http://schemas.openxmlformats.org/officeDocument/2006/relationships/hyperlink" Target="javascript:jump_module('bd',%7bmask:'main',opera:'61',id:'61LX0000873242ART13',key:'61LX0000873242ART13',%20callerTicket:%20'',%20userKey:%20'',_menu:'home',kind:''%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1804</Words>
  <Characters>10288</Characters>
  <Application>Microsoft Office Word</Application>
  <DocSecurity>0</DocSecurity>
  <Lines>85</Lines>
  <Paragraphs>24</Paragraphs>
  <ScaleCrop>false</ScaleCrop>
  <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1</cp:revision>
  <dcterms:created xsi:type="dcterms:W3CDTF">2019-05-23T22:48:00Z</dcterms:created>
  <dcterms:modified xsi:type="dcterms:W3CDTF">2019-05-23T22:57:00Z</dcterms:modified>
</cp:coreProperties>
</file>