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A4555" w:rsidRPr="00777F3B" w:rsidRDefault="002A4555" w:rsidP="002A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3"/>
          <w:szCs w:val="23"/>
          <w:lang w:eastAsia="ja-JP"/>
        </w:rPr>
      </w:pPr>
      <w:r>
        <w:rPr>
          <w:rFonts w:ascii="Times" w:hAnsi="Times" w:cs="Times"/>
          <w:b/>
          <w:color w:val="000000"/>
          <w:sz w:val="23"/>
          <w:szCs w:val="23"/>
          <w:lang w:eastAsia="ja-JP"/>
        </w:rPr>
        <w:t>Laboratorio</w:t>
      </w:r>
      <w:r w:rsidR="00171A0A">
        <w:rPr>
          <w:rFonts w:ascii="Times" w:hAnsi="Times" w:cs="Times"/>
          <w:b/>
          <w:color w:val="000000"/>
          <w:sz w:val="23"/>
          <w:szCs w:val="23"/>
          <w:lang w:eastAsia="ja-JP"/>
        </w:rPr>
        <w:t xml:space="preserve"> di</w:t>
      </w:r>
      <w:r>
        <w:rPr>
          <w:rFonts w:ascii="Times" w:hAnsi="Times" w:cs="Times"/>
          <w:b/>
          <w:color w:val="000000"/>
          <w:sz w:val="23"/>
          <w:szCs w:val="23"/>
          <w:lang w:eastAsia="ja-JP"/>
        </w:rPr>
        <w:t xml:space="preserve"> lingua giapponese </w:t>
      </w:r>
      <w:r w:rsidR="00171A0A">
        <w:rPr>
          <w:rFonts w:ascii="Times" w:hAnsi="Times" w:cs="Times"/>
          <w:b/>
          <w:color w:val="000000"/>
          <w:sz w:val="23"/>
          <w:szCs w:val="23"/>
          <w:lang w:eastAsia="ja-JP"/>
        </w:rPr>
        <w:t>III</w:t>
      </w:r>
    </w:p>
    <w:p w:rsidR="002A4555" w:rsidRDefault="002A4555" w:rsidP="002A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2A4555" w:rsidRDefault="002A4555" w:rsidP="002A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A.A. 2015/2016 – docente titolare: prof. ssa Mitsuko Morita</w:t>
      </w:r>
    </w:p>
    <w:p w:rsidR="002A4555" w:rsidRDefault="002A4555" w:rsidP="002A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Semestre I</w:t>
      </w:r>
    </w:p>
    <w:p w:rsidR="002A4555" w:rsidRDefault="002A4555" w:rsidP="002A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>
        <w:rPr>
          <w:rFonts w:ascii="Times" w:hAnsi="Times" w:cs="Times"/>
          <w:color w:val="000000"/>
          <w:sz w:val="23"/>
          <w:szCs w:val="23"/>
          <w:lang w:eastAsia="ja-JP"/>
        </w:rPr>
        <w:t>Crediti 8</w:t>
      </w:r>
    </w:p>
    <w:p w:rsidR="002A4555" w:rsidRDefault="002A4555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ahoma" w:hAnsi="Tahoma" w:cs="Tahoma"/>
          <w:color w:val="5D5D5D"/>
          <w:sz w:val="22"/>
          <w:szCs w:val="22"/>
        </w:rPr>
      </w:pP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001DE0"/>
          <w:sz w:val="32"/>
          <w:szCs w:val="32"/>
        </w:rPr>
        <w:t xml:space="preserve">Presentazione e </w:t>
      </w:r>
      <w:r>
        <w:rPr>
          <w:rFonts w:ascii="Times New Roman" w:hAnsi="Times New Roman" w:cs="Times New Roman"/>
          <w:color w:val="0020F6"/>
          <w:sz w:val="32"/>
          <w:szCs w:val="32"/>
        </w:rPr>
        <w:t>obiettivi</w:t>
      </w:r>
      <w:r>
        <w:rPr>
          <w:rFonts w:ascii="Times New Roman" w:hAnsi="Times New Roman" w:cs="Times New Roman"/>
          <w:color w:val="001DE0"/>
          <w:sz w:val="32"/>
          <w:szCs w:val="32"/>
        </w:rPr>
        <w:t xml:space="preserve"> del corso</w:t>
      </w:r>
    </w:p>
    <w:p w:rsidR="009D2CC7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imes New Roman" w:hAnsi="Times New Roman" w:cs="Times New Roman"/>
          <w:color w:val="5D5D5D"/>
          <w:sz w:val="32"/>
          <w:szCs w:val="3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 xml:space="preserve">Il corso mira al potenziamento delle competenze di comprensione e produzione orali e scritte della lingua giapponese, fino a un livello quasi pari a N3 del nuovo </w:t>
      </w:r>
      <w:r>
        <w:rPr>
          <w:rFonts w:ascii="Times New Roman" w:hAnsi="Times New Roman" w:cs="Times New Roman"/>
          <w:i/>
          <w:iCs/>
          <w:color w:val="5D5D5D"/>
          <w:sz w:val="32"/>
          <w:szCs w:val="32"/>
        </w:rPr>
        <w:t>Nihongo nōryoku shiken</w:t>
      </w:r>
      <w:r>
        <w:rPr>
          <w:rFonts w:ascii="Times New Roman" w:hAnsi="Times New Roman" w:cs="Times New Roman"/>
          <w:color w:val="5D5D5D"/>
          <w:sz w:val="32"/>
          <w:szCs w:val="32"/>
        </w:rPr>
        <w:t xml:space="preserve">, attraverso attività integrate di lettura, parlato, scrittura, uso della lingua e </w:t>
      </w:r>
      <w:r>
        <w:rPr>
          <w:rFonts w:ascii="Times New Roman" w:hAnsi="Times New Roman" w:cs="Times New Roman"/>
          <w:i/>
          <w:iCs/>
          <w:color w:val="5D5D5D"/>
          <w:sz w:val="32"/>
          <w:szCs w:val="32"/>
        </w:rPr>
        <w:t>kanji</w:t>
      </w:r>
      <w:r>
        <w:rPr>
          <w:rFonts w:ascii="Times New Roman" w:hAnsi="Times New Roman" w:cs="Times New Roman"/>
          <w:color w:val="5D5D5D"/>
          <w:sz w:val="32"/>
          <w:szCs w:val="32"/>
        </w:rPr>
        <w:t xml:space="preserve"> sulla base del manuale fornito in bibliografia. Si propone altresì di approfondire gli aspetti di linguistica testuale e di analisi stilistica e di applicare concretamente le diverse competenze acquisite alla traduzione dal giapponese in italiano di testi appartenenti al genere letterario e tecnico-scientifico. </w:t>
      </w:r>
    </w:p>
    <w:p w:rsidR="002A4555" w:rsidRDefault="009D2CC7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imes New Roman" w:hAnsi="Times New Roman" w:cs="Times New Roman"/>
          <w:color w:val="5D5D5D"/>
          <w:sz w:val="32"/>
          <w:szCs w:val="3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 xml:space="preserve"> </w:t>
      </w:r>
    </w:p>
    <w:p w:rsidR="002A4555" w:rsidRDefault="00511C5B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0020F6"/>
          <w:sz w:val="32"/>
          <w:szCs w:val="32"/>
        </w:rPr>
        <w:t>Conoscenze e abilità da acquisire</w:t>
      </w:r>
    </w:p>
    <w:p w:rsidR="002A4555" w:rsidRDefault="00511C5B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>lessico-grammatica giapponese intermedia</w:t>
      </w:r>
    </w:p>
    <w:p w:rsidR="002A4555" w:rsidRDefault="009D2CC7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 xml:space="preserve">scrittura: circa 400 </w:t>
      </w:r>
      <w:r w:rsidR="00511C5B">
        <w:rPr>
          <w:rFonts w:ascii="Times New Roman" w:hAnsi="Times New Roman" w:cs="Times New Roman"/>
          <w:i/>
          <w:iCs/>
          <w:color w:val="5D5D5D"/>
          <w:sz w:val="32"/>
          <w:szCs w:val="32"/>
        </w:rPr>
        <w:t>kanji</w:t>
      </w:r>
    </w:p>
    <w:p w:rsidR="002A4555" w:rsidRDefault="00511C5B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>mediazine linguistica e culturale fra Giappone e Italia</w:t>
      </w:r>
    </w:p>
    <w:p w:rsidR="002A4555" w:rsidRDefault="002A4555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</w:p>
    <w:p w:rsidR="002A4555" w:rsidRDefault="009D2CC7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imes New Roman" w:hAnsi="Times New Roman" w:cs="Times New Roman"/>
          <w:color w:val="001DE0"/>
          <w:sz w:val="32"/>
          <w:szCs w:val="32"/>
        </w:rPr>
      </w:pPr>
      <w:r w:rsidRPr="002A4555">
        <w:rPr>
          <w:rFonts w:ascii="Times New Roman" w:hAnsi="Times New Roman" w:cs="Times New Roman"/>
          <w:color w:val="001DE0"/>
          <w:sz w:val="32"/>
          <w:szCs w:val="32"/>
        </w:rPr>
        <w:t>Prerequisiti</w:t>
      </w:r>
    </w:p>
    <w:p w:rsidR="00741E7A" w:rsidRPr="00741E7A" w:rsidRDefault="009D2CC7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imes CE" w:hAnsi="Times CE" w:cs="Times New Roman"/>
          <w:iCs/>
          <w:color w:val="595959" w:themeColor="text1" w:themeTint="A6"/>
          <w:sz w:val="32"/>
          <w:szCs w:val="32"/>
        </w:rPr>
      </w:pPr>
      <w:r w:rsidRPr="00741E7A">
        <w:rPr>
          <w:rFonts w:ascii="Times CE" w:hAnsi="Times CE" w:cs="Times New Roman"/>
          <w:color w:val="595959" w:themeColor="text1" w:themeTint="A6"/>
          <w:sz w:val="32"/>
          <w:szCs w:val="32"/>
        </w:rPr>
        <w:t>Lo studente che accade a questo ins</w:t>
      </w:r>
      <w:r w:rsidR="00741E7A">
        <w:rPr>
          <w:rFonts w:ascii="Times CE" w:hAnsi="Times CE" w:cs="Times New Roman"/>
          <w:color w:val="595959" w:themeColor="text1" w:themeTint="A6"/>
          <w:sz w:val="32"/>
          <w:szCs w:val="32"/>
        </w:rPr>
        <w:t xml:space="preserve">egnamento dovrebbe </w:t>
      </w:r>
      <w:r w:rsidR="00741E7A" w:rsidRPr="00741E7A">
        <w:rPr>
          <w:rFonts w:ascii="Times CE" w:hAnsi="Times CE" w:cs="Helvetica"/>
          <w:iCs/>
          <w:color w:val="595959" w:themeColor="text1" w:themeTint="A6"/>
          <w:sz w:val="32"/>
          <w:szCs w:val="32"/>
        </w:rPr>
        <w:t>avere già sostenuto l’esame di lingua giapponese II</w:t>
      </w:r>
    </w:p>
    <w:p w:rsidR="002A4555" w:rsidRDefault="002A4555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imes New Roman" w:hAnsi="Times New Roman" w:cs="Times New Roman"/>
          <w:color w:val="001DE0"/>
          <w:sz w:val="32"/>
          <w:szCs w:val="32"/>
        </w:rPr>
      </w:pPr>
    </w:p>
    <w:p w:rsidR="002A4555" w:rsidRDefault="00F77137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001DE0"/>
          <w:sz w:val="32"/>
          <w:szCs w:val="32"/>
        </w:rPr>
        <w:t>Docenti coinvolti nel modulo didattico</w:t>
      </w:r>
    </w:p>
    <w:p w:rsidR="00F77137" w:rsidRPr="002A4555" w:rsidRDefault="00F77137" w:rsidP="002A4555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 w:rsidRPr="00F7713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Oltre al titolare del corso, prof.ssa Maria Chiara Migliore, possono essere coinvolti nell'insegnamento in oggetto docenti esterni, che svilpperanno temi specifici dell'argomento studiato.</w:t>
      </w:r>
    </w:p>
    <w:p w:rsidR="00511C5B" w:rsidRPr="00F77137" w:rsidRDefault="00511C5B" w:rsidP="00F7713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tLeast"/>
        <w:ind w:left="720" w:hanging="720"/>
        <w:rPr>
          <w:rFonts w:ascii="Tahoma" w:hAnsi="Tahoma" w:cs="Tahoma"/>
          <w:color w:val="7F7F7F" w:themeColor="text1" w:themeTint="80"/>
          <w:sz w:val="22"/>
          <w:szCs w:val="22"/>
        </w:rPr>
      </w:pPr>
    </w:p>
    <w:p w:rsidR="00F77137" w:rsidRDefault="00F77137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imes New Roman" w:hAnsi="Times New Roman" w:cs="Times New Roman"/>
          <w:color w:val="001DE0"/>
          <w:sz w:val="32"/>
          <w:szCs w:val="32"/>
        </w:rPr>
      </w:pPr>
      <w:r>
        <w:rPr>
          <w:rFonts w:ascii="Times New Roman" w:hAnsi="Times New Roman" w:cs="Times New Roman"/>
          <w:color w:val="001DE0"/>
          <w:sz w:val="32"/>
          <w:szCs w:val="32"/>
        </w:rPr>
        <w:t>Metodi didattici e modalità di esecuzione delle lezioni</w:t>
      </w:r>
    </w:p>
    <w:p w:rsidR="002A4555" w:rsidRPr="002A4555" w:rsidRDefault="00F77137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2A4555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L'insegnamento si compone di lezioni frontali 48 ore</w:t>
      </w:r>
      <w:r w:rsidR="002A4555" w:rsidRPr="002A4555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, prevede il coinvolgimento diretto dello studente, ch</w:t>
      </w:r>
      <w:r w:rsidR="002A4555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i</w:t>
      </w:r>
      <w:r w:rsidR="002A4555" w:rsidRPr="002A4555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amato ad approfondire un aspetto del progra</w:t>
      </w:r>
      <w:r w:rsidR="00F52DDD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mma e a presentarlo al docente </w:t>
      </w:r>
      <w:r w:rsidR="002A4555" w:rsidRPr="002A4555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e ai colleghi.</w:t>
      </w:r>
    </w:p>
    <w:p w:rsidR="002A4555" w:rsidRPr="002A4555" w:rsidRDefault="002A4555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2A4555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La frequenza delle lezioni è vivamente consigliata.</w:t>
      </w:r>
    </w:p>
    <w:p w:rsidR="002A4555" w:rsidRPr="002A4555" w:rsidRDefault="002A4555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001DE0"/>
          <w:sz w:val="32"/>
          <w:szCs w:val="32"/>
        </w:rPr>
        <w:t>Materiale didattico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 xml:space="preserve">- Akira Miura &amp; Naomi Hanaoka McGloin, 2012, </w:t>
      </w:r>
      <w:r>
        <w:rPr>
          <w:rFonts w:ascii="Times New Roman" w:hAnsi="Times New Roman" w:cs="Times New Roman"/>
          <w:i/>
          <w:iCs/>
          <w:color w:val="5D5D5D"/>
          <w:sz w:val="32"/>
          <w:szCs w:val="32"/>
        </w:rPr>
        <w:t>An Integrated Approach to Intermediate Japanese. Textbook</w:t>
      </w:r>
      <w:r>
        <w:rPr>
          <w:rFonts w:ascii="Times New Roman" w:hAnsi="Times New Roman" w:cs="Times New Roman"/>
          <w:color w:val="5D5D5D"/>
          <w:sz w:val="32"/>
          <w:szCs w:val="32"/>
        </w:rPr>
        <w:t xml:space="preserve"> (Revised Edition), Tokyo: The Japane Times.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5D5D5D"/>
          <w:sz w:val="32"/>
          <w:szCs w:val="32"/>
        </w:rPr>
        <w:t xml:space="preserve">Akira Miura &amp; Naomi Hanaoka McGloin, 2012, </w:t>
      </w:r>
      <w:r>
        <w:rPr>
          <w:rFonts w:ascii="Times New Roman" w:hAnsi="Times New Roman" w:cs="Times New Roman"/>
          <w:i/>
          <w:iCs/>
          <w:color w:val="5D5D5D"/>
          <w:sz w:val="32"/>
          <w:szCs w:val="32"/>
        </w:rPr>
        <w:t>An Integrated Approach to Intermediate Japanese. Workbook</w:t>
      </w:r>
      <w:r>
        <w:rPr>
          <w:rFonts w:ascii="Times New Roman" w:hAnsi="Times New Roman" w:cs="Times New Roman"/>
          <w:color w:val="5D5D5D"/>
          <w:sz w:val="32"/>
          <w:szCs w:val="32"/>
        </w:rPr>
        <w:t xml:space="preserve"> (Revised Edition), Tokyo: The Japane Times.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 xml:space="preserve">- Makino Seiichi &amp; Tsutsui Michio, 2006, </w:t>
      </w:r>
      <w:r>
        <w:rPr>
          <w:rFonts w:ascii="Times New Roman" w:hAnsi="Times New Roman" w:cs="Times New Roman"/>
          <w:i/>
          <w:iCs/>
          <w:color w:val="5D5D5D"/>
          <w:sz w:val="32"/>
          <w:szCs w:val="32"/>
        </w:rPr>
        <w:t>A Dictionary of Basic Japanese Grammar</w:t>
      </w:r>
      <w:r>
        <w:rPr>
          <w:rFonts w:ascii="Times New Roman" w:hAnsi="Times New Roman" w:cs="Times New Roman"/>
          <w:color w:val="5D5D5D"/>
          <w:sz w:val="32"/>
          <w:szCs w:val="32"/>
        </w:rPr>
        <w:t>, Tōkyō: The Japan Times.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5D5D5D"/>
          <w:sz w:val="32"/>
          <w:szCs w:val="32"/>
        </w:rPr>
        <w:t xml:space="preserve">- Makino Seiichi &amp; Tsutsui Michio, 1997, </w:t>
      </w:r>
      <w:r>
        <w:rPr>
          <w:rFonts w:ascii="Times New Roman" w:hAnsi="Times New Roman" w:cs="Times New Roman"/>
          <w:i/>
          <w:iCs/>
          <w:color w:val="5D5D5D"/>
          <w:sz w:val="32"/>
          <w:szCs w:val="32"/>
        </w:rPr>
        <w:t>A Dictionary of Intermediate Japanese Grammar</w:t>
      </w:r>
      <w:r>
        <w:rPr>
          <w:rFonts w:ascii="Times New Roman" w:hAnsi="Times New Roman" w:cs="Times New Roman"/>
          <w:color w:val="5D5D5D"/>
          <w:sz w:val="32"/>
          <w:szCs w:val="32"/>
        </w:rPr>
        <w:t>, Tōkyō: The Japan Times.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001DE0"/>
          <w:sz w:val="32"/>
          <w:szCs w:val="32"/>
        </w:rPr>
        <w:t>Modalità di valutazione degli studenti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jc w:val="both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>Esame scritto ed esame orale</w:t>
      </w:r>
    </w:p>
    <w:p w:rsidR="00511C5B" w:rsidRDefault="00511C5B" w:rsidP="00511C5B">
      <w:pPr>
        <w:widowControl w:val="0"/>
        <w:autoSpaceDE w:val="0"/>
        <w:autoSpaceDN w:val="0"/>
        <w:adjustRightInd w:val="0"/>
        <w:spacing w:after="80" w:line="480" w:lineRule="atLeast"/>
        <w:rPr>
          <w:rFonts w:ascii="Tahoma" w:hAnsi="Tahoma" w:cs="Tahoma"/>
          <w:color w:val="5D5D5D"/>
          <w:sz w:val="22"/>
          <w:szCs w:val="22"/>
        </w:rPr>
      </w:pPr>
      <w:r>
        <w:rPr>
          <w:rFonts w:ascii="Times New Roman" w:hAnsi="Times New Roman" w:cs="Times New Roman"/>
          <w:color w:val="001DE0"/>
          <w:sz w:val="32"/>
          <w:szCs w:val="32"/>
        </w:rPr>
        <w:t>Modalità di prenotazione dell’esame e date degli appelli</w:t>
      </w:r>
    </w:p>
    <w:p w:rsidR="00511C5B" w:rsidRDefault="00511C5B" w:rsidP="00511C5B">
      <w:r>
        <w:rPr>
          <w:rFonts w:ascii="Times New Roman" w:hAnsi="Times New Roman" w:cs="Times New Roman"/>
          <w:sz w:val="32"/>
          <w:szCs w:val="32"/>
        </w:rPr>
        <w:t>Gli studenti possono prenotarsi per l’esame finale esclusivamente utilizzando le modalità previste dal sistema VOL.</w:t>
      </w:r>
      <w:r>
        <w:rPr>
          <w:rFonts w:ascii="Tahoma" w:hAnsi="Tahoma" w:cs="Tahoma"/>
          <w:color w:val="5D5D5D"/>
          <w:sz w:val="22"/>
          <w:szCs w:val="22"/>
        </w:rPr>
        <w:t> </w:t>
      </w:r>
    </w:p>
    <w:sectPr w:rsidR="00511C5B" w:rsidSect="00F77137">
      <w:pgSz w:w="11904" w:h="16834"/>
      <w:pgMar w:top="1134" w:right="1418" w:bottom="113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CE">
    <w:panose1 w:val="02000500000000000000"/>
    <w:charset w:val="58"/>
    <w:family w:val="auto"/>
    <w:pitch w:val="variable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1C5B"/>
    <w:rsid w:val="00171A0A"/>
    <w:rsid w:val="002A4555"/>
    <w:rsid w:val="0048763E"/>
    <w:rsid w:val="00511C5B"/>
    <w:rsid w:val="00741E7A"/>
    <w:rsid w:val="009D2CC7"/>
    <w:rsid w:val="00B82466"/>
    <w:rsid w:val="00BC46A5"/>
    <w:rsid w:val="00F52DDD"/>
    <w:rsid w:val="00F77137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23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9D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1923</Characters>
  <Application>Microsoft Word 12.1.1</Application>
  <DocSecurity>0</DocSecurity>
  <Lines>16</Lines>
  <Paragraphs>3</Paragraphs>
  <ScaleCrop>false</ScaleCrop>
  <LinksUpToDate>false</LinksUpToDate>
  <CharactersWithSpaces>2361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</dc:creator>
  <cp:keywords/>
  <cp:lastModifiedBy>mitsuko</cp:lastModifiedBy>
  <cp:revision>4</cp:revision>
  <dcterms:created xsi:type="dcterms:W3CDTF">2015-04-15T20:15:00Z</dcterms:created>
  <dcterms:modified xsi:type="dcterms:W3CDTF">2015-05-20T07:18:00Z</dcterms:modified>
</cp:coreProperties>
</file>