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ind w:left="90" w:right="441" w:firstLine="0"/>
        <w:rPr>
          <w:sz w:val="20"/>
          <w:szCs w:val="20"/>
        </w:rPr>
      </w:pPr>
      <w:r>
        <w:rPr>
          <w:rtl w:val="0"/>
        </w:rPr>
        <mc:AlternateContent>
          <mc:Choice Requires="wpg">
            <w:drawing>
              <wp:inline distT="0" distB="0" distL="0" distR="0">
                <wp:extent cx="6541135" cy="21602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135" cy="216021"/>
                          <a:chOff x="0" y="0"/>
                          <a:chExt cx="6541134" cy="2160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541135" cy="216021"/>
                          </a:xfrm>
                          <a:prstGeom prst="rect">
                            <a:avLst/>
                          </a:prstGeom>
                          <a:noFill/>
                          <a:ln w="1260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541135" cy="216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ext Body"/>
                                <w:spacing w:before="62"/>
                                <w:ind w:left="1227" w:firstLine="0"/>
                              </w:pP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  <w:lang w:val="it-IT"/>
                                </w:rPr>
                                <w:t>Prot. n. 0067334 del 30/05/2018 - [UOR: Ufficio accreditamento e qualit</w:t>
                              </w:r>
                              <w:r>
                                <w:rPr>
                                  <w:rFonts w:hAnsi="Arial" w:hint="default"/>
                                  <w:color w:val="000000"/>
                                  <w:u w:color="000000"/>
                                  <w:rtl w:val="0"/>
                                  <w:lang w:val="it-IT"/>
                                </w:rPr>
                                <w:t xml:space="preserve">à </w:t>
                              </w: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  <w:lang w:val="it-IT"/>
                                </w:rPr>
                                <w:t xml:space="preserve">- Classif. </w:t>
                              </w: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  <w:lang w:val="en-US"/>
                                </w:rPr>
                                <w:t>III/11]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15.0pt;height:17.0pt;" coordorigin="0,0" coordsize="6541135,216021">
                <v:rect id="_x0000_s1027" style="position:absolute;left:0;top:0;width:6541135;height:216021;">
                  <v:fill on="f"/>
  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6541135;height:2160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 Body"/>
                          <w:spacing w:before="62"/>
                          <w:ind w:left="1227" w:firstLine="0"/>
                        </w:pPr>
                        <w:r>
                          <w:rPr>
                            <w:color w:val="000000"/>
                            <w:u w:color="000000"/>
                            <w:rtl w:val="0"/>
                            <w:lang w:val="it-IT"/>
                          </w:rPr>
                          <w:t>Prot. n. 0067334 del 30/05/2018 - [UOR: Ufficio accreditamento e qualit</w:t>
                        </w:r>
                        <w:r>
                          <w:rPr>
                            <w:rFonts w:hAnsi="Arial" w:hint="default"/>
                            <w:color w:val="000000"/>
                            <w:u w:color="000000"/>
                            <w:rtl w:val="0"/>
                            <w:lang w:val="it-IT"/>
                          </w:rPr>
                          <w:t xml:space="preserve">à </w:t>
                        </w:r>
                        <w:r>
                          <w:rPr>
                            <w:color w:val="000000"/>
                            <w:u w:color="000000"/>
                            <w:rtl w:val="0"/>
                            <w:lang w:val="it-IT"/>
                          </w:rPr>
                          <w:t xml:space="preserve">- Classif. </w:t>
                        </w:r>
                        <w:r>
                          <w:rPr>
                            <w:color w:val="000000"/>
                            <w:u w:color="000000"/>
                            <w:rtl w:val="0"/>
                            <w:lang w:val="en-US"/>
                          </w:rPr>
                          <w:t>III/11]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o"/>
        <w:spacing w:before="3"/>
        <w:ind w:right="441"/>
        <w:rPr>
          <w:sz w:val="20"/>
          <w:szCs w:val="20"/>
        </w:rPr>
      </w:pPr>
    </w:p>
    <w:p>
      <w:pPr>
        <w:pStyle w:val="Corpo"/>
        <w:ind w:left="436" w:right="441" w:firstLine="0"/>
        <w:rPr>
          <w:sz w:val="20"/>
          <w:szCs w:val="20"/>
        </w:rPr>
      </w:pPr>
      <w:r>
        <w:rPr>
          <w:rtl w:val="0"/>
        </w:rPr>
        <w:drawing>
          <wp:inline distT="0" distB="0" distL="0" distR="0">
            <wp:extent cx="2233930" cy="71310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713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ind w:right="441"/>
        <w:rPr>
          <w:sz w:val="20"/>
          <w:szCs w:val="20"/>
        </w:rPr>
      </w:pPr>
    </w:p>
    <w:p>
      <w:pPr>
        <w:pStyle w:val="Corpo"/>
        <w:spacing w:before="10"/>
        <w:ind w:right="441"/>
        <w:rPr>
          <w:sz w:val="20"/>
          <w:szCs w:val="20"/>
        </w:rPr>
      </w:pP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649604</wp:posOffset>
                </wp:positionH>
                <wp:positionV relativeFrom="line">
                  <wp:posOffset>151129</wp:posOffset>
                </wp:positionV>
                <wp:extent cx="6212205" cy="274353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205" cy="274353"/>
                          <a:chOff x="0" y="0"/>
                          <a:chExt cx="6212204" cy="274352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212205" cy="274353"/>
                          </a:xfrm>
                          <a:prstGeom prst="rect">
                            <a:avLst/>
                          </a:prstGeom>
                          <a:noFill/>
                          <a:ln w="64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212205" cy="2743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ame Contents"/>
                                <w:spacing w:before="5"/>
                                <w:ind w:left="2833" w:firstLine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sz w:val="36"/>
                                  <w:szCs w:val="36"/>
                                  <w:u w:color="000000"/>
                                  <w:rtl w:val="0"/>
                                  <w:lang w:val="it-IT"/>
                                </w:rPr>
                                <w:t>SCHEDA INSEGNAMENTO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1.1pt;margin-top:11.9pt;width:489.1pt;height:21.6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6212205,274353">
                <w10:wrap type="topAndBottom" side="bothSides" anchorx="page"/>
                <v:rect id="_x0000_s1030" style="position:absolute;left:0;top:0;width:6212205;height:274353;">
                  <v:fill on="f"/>
  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6212205;height:274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ame Contents"/>
                          <w:spacing w:before="5"/>
                          <w:ind w:left="2833" w:firstLine="0"/>
                        </w:pPr>
                        <w:r>
                          <w:rPr>
                            <w:b w:val="1"/>
                            <w:bCs w:val="1"/>
                            <w:color w:val="000000"/>
                            <w:sz w:val="36"/>
                            <w:szCs w:val="36"/>
                            <w:u w:color="000000"/>
                            <w:rtl w:val="0"/>
                            <w:lang w:val="it-IT"/>
                          </w:rPr>
                          <w:t>SCHEDA INSEGNAMENTO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o"/>
        <w:ind w:right="441"/>
        <w:rPr>
          <w:sz w:val="20"/>
          <w:szCs w:val="20"/>
        </w:rPr>
      </w:pPr>
    </w:p>
    <w:p>
      <w:pPr>
        <w:pStyle w:val="Corpo"/>
        <w:spacing w:before="5"/>
        <w:ind w:right="441"/>
        <w:rPr>
          <w:sz w:val="20"/>
          <w:szCs w:val="20"/>
        </w:rPr>
      </w:pPr>
    </w:p>
    <w:p>
      <w:pPr>
        <w:pStyle w:val="Corpo"/>
        <w:spacing w:before="59"/>
        <w:ind w:right="441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it-IT"/>
        </w:rPr>
        <w:t>Sociologia del Diritto e del Mutamento Sociale</w:t>
      </w:r>
    </w:p>
    <w:p>
      <w:pPr>
        <w:pStyle w:val="Corpo"/>
        <w:widowControl w:val="0"/>
        <w:ind w:right="441"/>
        <w:rPr>
          <w:sz w:val="20"/>
          <w:szCs w:val="20"/>
        </w:rPr>
      </w:pPr>
    </w:p>
    <w:tbl>
      <w:tblPr>
        <w:tblW w:w="103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69"/>
        <w:gridCol w:w="6423"/>
      </w:tblGrid>
      <w:tr>
        <w:tblPrEx>
          <w:shd w:val="clear" w:color="auto" w:fill="auto"/>
        </w:tblPrEx>
        <w:trPr>
          <w:trHeight w:val="44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Corso di studi di riferimento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Laurea Magistrale in Comunicazione pubblica, economica e istituzionale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Dipartimento di riferimento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Dipartimento di Studi umanistici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Docente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Stefano Magnolo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 istituzionale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stefano.magnolo@unisalento.it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Settore Scientifico Disciplinare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SPS/12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Crediti Formativi Universitari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6 CFU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Ore di attivit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frontale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Ore di studio individuale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120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Anno di corso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2018/2019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Semestre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Secondo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Lingua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erogazione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spacing w:before="10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Italiano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Percorso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/>
        </w:tc>
      </w:tr>
    </w:tbl>
    <w:p>
      <w:pPr>
        <w:pStyle w:val="Corpo"/>
        <w:widowControl w:val="0"/>
        <w:ind w:right="441"/>
        <w:rPr>
          <w:sz w:val="20"/>
          <w:szCs w:val="20"/>
        </w:rPr>
      </w:pPr>
    </w:p>
    <w:p>
      <w:pPr>
        <w:pStyle w:val="Corpo"/>
        <w:widowControl w:val="0"/>
        <w:spacing w:before="10"/>
        <w:ind w:right="441"/>
        <w:rPr>
          <w:sz w:val="20"/>
          <w:szCs w:val="20"/>
        </w:rPr>
      </w:pPr>
    </w:p>
    <w:tbl>
      <w:tblPr>
        <w:tblW w:w="98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64"/>
        <w:gridCol w:w="6102"/>
      </w:tblGrid>
      <w:tr>
        <w:tblPrEx>
          <w:shd w:val="clear" w:color="auto" w:fill="auto"/>
        </w:tblPrEx>
        <w:trPr>
          <w:trHeight w:val="662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Prerequisiti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</w:pPr>
            <w:r>
              <w:rPr>
                <w:sz w:val="20"/>
                <w:szCs w:val="20"/>
                <w:u w:color="ff0000"/>
                <w:rtl w:val="0"/>
                <w:lang w:val="it-IT"/>
              </w:rPr>
              <w:t>La conoscenza generale dei classici del pensiero sociologico, ancorch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é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utile non costituisce un requisito necessario alla comprensione dei contenuti del corso. </w:t>
            </w:r>
          </w:p>
        </w:tc>
      </w:tr>
      <w:tr>
        <w:tblPrEx>
          <w:shd w:val="clear" w:color="auto" w:fill="auto"/>
        </w:tblPrEx>
        <w:trPr>
          <w:trHeight w:val="4320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Contenuti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Normale"/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441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Nello studio delle relazioni diritto-societ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e dei loro mutamenti evolutivi, che costituisce tradizionalmente l'oggetto della sociologia del diritto, risulta difficile trascurare le dinamiche politiche. Sia per una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vicinanza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”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intrinseca del sistema giuridico e di quello politico, sia perch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la prospettiva evolutiva esalta in qualche modo 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importanza della politica per la produzione del cambiamento nel lungo termine e per la gestione delle emergenze che sorgono nel presente. In considerazione degli obiettivi formativi della laurea in Comunicazione pubblica, economica e istituzionale, il corso si propone di illustrare tali dinamiche, soffermandosi sull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specifica che diritto e politica svolgono all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interno del 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vasto contesto sociale e, in  particolare, sul cortocircuito che spesso si crea tra i due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grazie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”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all'azione dei media. A tal fine, si ritiene utile osservare e descrivere un caso empirico attuale che interessa il nostro territorio: la cd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emergenza Xylella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Obiettivi formativi</w:t>
            </w:r>
          </w:p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Paragraph"/>
              <w:numPr>
                <w:ilvl w:val="0"/>
                <w:numId w:val="3"/>
              </w:numPr>
              <w:tabs>
                <w:tab w:val="num" w:pos="508"/>
                <w:tab w:val="left" w:pos="824"/>
                <w:tab w:val="clear" w:pos="463"/>
              </w:tabs>
              <w:spacing w:before="1"/>
              <w:ind w:left="508" w:right="441" w:hanging="49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Conoscenze 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comprensione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  <w:rPr>
                <w:sz w:val="20"/>
                <w:szCs w:val="20"/>
                <w:u w:color="ff0000"/>
                <w:lang w:val="it-IT"/>
              </w:rPr>
            </w:pPr>
            <w:r>
              <w:rPr>
                <w:sz w:val="20"/>
                <w:szCs w:val="20"/>
                <w:u w:color="ff0000"/>
                <w:rtl w:val="0"/>
                <w:lang w:val="it-IT"/>
              </w:rPr>
              <w:t>Lo studio del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la Sociologia del diritto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conduce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lo studente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a una migliore conoscenza d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ei meccanismi della produzione normativa, della funzione del sistema giuridico nelle moderne democrazie occidentali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e alla comprensione dei principi e concetti giuridici cardine della materia.</w:t>
            </w:r>
          </w:p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Obiettivi formativi</w:t>
            </w:r>
          </w:p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4"/>
              </w:numPr>
              <w:tabs>
                <w:tab w:val="num" w:pos="508"/>
                <w:tab w:val="left" w:pos="824"/>
                <w:tab w:val="clear" w:pos="463"/>
              </w:tabs>
              <w:spacing w:before="4"/>
              <w:ind w:left="508" w:right="441" w:hanging="49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Capacit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 applicare  conoscenze  e comprensione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center"/>
          </w:tcPr>
          <w:p>
            <w:pPr>
              <w:pStyle w:val="Corpo"/>
              <w:ind w:right="441"/>
              <w:jc w:val="both"/>
            </w:pPr>
            <w:r>
              <w:rPr>
                <w:sz w:val="20"/>
                <w:szCs w:val="20"/>
                <w:u w:color="ff0000"/>
                <w:rtl w:val="0"/>
                <w:lang w:val="it-IT"/>
              </w:rPr>
              <w:t>Si mira altres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ì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a favorire l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acquisizione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dei profili applicativi della materia, in connessione con un consapevole uso degli strumenti critici tipici della disciplina: in particolare una parte del corso 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è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rivolta a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ll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analisi di un caso pratico riguardante le dinamiche diritto-societ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>à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In tal modo lo studente acquisir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à 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la capacit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di affrontare e risolvere problemi, anche su tematiche nuove e non consuete, con particolare riguardo a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ll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intreccio tra diritto, politica e scienza e al ruolo dei media della comunicazione nella costruzione e nella diffusione di tali complesse dinamiche.</w:t>
            </w:r>
            <w:r>
              <w:rPr>
                <w:sz w:val="20"/>
                <w:szCs w:val="20"/>
                <w:u w:color="ff000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1982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Obiettivi formativi</w:t>
            </w:r>
          </w:p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5"/>
              </w:numPr>
              <w:tabs>
                <w:tab w:val="num" w:pos="508"/>
                <w:tab w:val="left" w:pos="824"/>
                <w:tab w:val="clear" w:pos="463"/>
              </w:tabs>
              <w:spacing w:before="6"/>
              <w:ind w:left="508" w:right="441" w:hanging="49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Autonomia di giudizio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  <w:rPr>
                <w:sz w:val="20"/>
                <w:szCs w:val="20"/>
                <w:u w:color="ff0000"/>
                <w:lang w:val="it-IT"/>
              </w:rPr>
            </w:pPr>
            <w:r>
              <w:rPr>
                <w:sz w:val="20"/>
                <w:szCs w:val="20"/>
                <w:u w:color="ff0000"/>
                <w:rtl w:val="0"/>
                <w:lang w:val="it-IT"/>
              </w:rPr>
              <w:t>Attraverso lo studio d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ella Sociologia del diritto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lo studente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pu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ò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acquisire flessibilit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>à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, iniziativa, attitudine al </w:t>
            </w:r>
            <w:r>
              <w:rPr>
                <w:i w:val="1"/>
                <w:iCs w:val="1"/>
                <w:sz w:val="20"/>
                <w:szCs w:val="20"/>
                <w:u w:color="ff0000"/>
                <w:rtl w:val="0"/>
                <w:lang w:val="it-IT"/>
              </w:rPr>
              <w:t>problem solving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, capacit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di analisi di documenti anche complessi e di valutazione di soluzioni anche in vista della loro applicazione. L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autonomia di giudizio si persegue sia attraverso l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analisi e la lettura di testi normativi,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articoli specialistici e divulgativi,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che attraverso un percorso mirato a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ll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apprendimento cooperativo e basato sui problemi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.</w:t>
            </w:r>
          </w:p>
          <w:p>
            <w:pPr>
              <w:pStyle w:val="Corpo"/>
              <w:ind w:right="441"/>
            </w:pPr>
            <w:r>
              <w:rPr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Obiettivi formativi</w:t>
            </w:r>
          </w:p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6"/>
              </w:numPr>
              <w:tabs>
                <w:tab w:val="num" w:pos="508"/>
                <w:tab w:val="left" w:pos="824"/>
                <w:tab w:val="clear" w:pos="463"/>
              </w:tabs>
              <w:spacing w:before="4"/>
              <w:ind w:left="508" w:right="441" w:hanging="49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Abilit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33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comunicative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  <w:jc w:val="both"/>
            </w:pPr>
            <w:r>
              <w:rPr>
                <w:sz w:val="20"/>
                <w:szCs w:val="20"/>
                <w:u w:color="ff0000"/>
                <w:rtl w:val="0"/>
                <w:lang w:val="it-IT"/>
              </w:rPr>
              <w:t>Lo studente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apprende attraverso il corso a comunicare in forma scritta e orale informazioni, idee, problemi e soluzioni inerenti . Le capacit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comunicative in oggetto saranno stimolate attraverso lezioni frontali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, seminari, discussioni ed eventuale elaborazione di riflessioni in forma scritta.</w:t>
            </w:r>
            <w:r>
              <w:rPr>
                <w:sz w:val="20"/>
                <w:szCs w:val="20"/>
                <w:u w:color="ff000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Obiettivi formativi</w:t>
            </w:r>
          </w:p>
          <w:p>
            <w:pPr>
              <w:pStyle w:val="Table Paragraph"/>
              <w:ind w:left="103" w:right="441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7"/>
              </w:numPr>
              <w:tabs>
                <w:tab w:val="num" w:pos="508"/>
                <w:tab w:val="clear" w:pos="463"/>
              </w:tabs>
              <w:ind w:left="508" w:right="441" w:hanging="492"/>
              <w:rPr>
                <w:position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Capacit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 apprendimento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  <w:jc w:val="both"/>
              <w:rPr>
                <w:sz w:val="20"/>
                <w:szCs w:val="20"/>
                <w:u w:color="ff0000"/>
                <w:lang w:val="it-IT"/>
              </w:rPr>
            </w:pPr>
            <w:r>
              <w:rPr>
                <w:sz w:val="20"/>
                <w:szCs w:val="20"/>
                <w:u w:color="ff0000"/>
                <w:rtl w:val="0"/>
                <w:lang w:val="it-IT"/>
              </w:rPr>
              <w:t>Attraverso lo studio d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ella Sociologia del diritto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,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lo studente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approfondisce la comprensione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della funzione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di regole e istituti, nonch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é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delle intime connessioni fra gli stessi,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tra questi e la comunicazione politica, scientifica e sociale in generale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 xml:space="preserve"> e dei problemi tuttora aperti in seno alla disciplina. Su tale base lo studente acquisir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competenze e capacit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critiche idonee a garantirgli l</w:t>
            </w:r>
            <w:r>
              <w:rPr>
                <w:rFonts w:hAnsi="Times New Roman" w:hint="default"/>
                <w:sz w:val="20"/>
                <w:szCs w:val="20"/>
                <w:u w:color="ff000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ff0000"/>
                <w:rtl w:val="0"/>
                <w:lang w:val="it-IT"/>
              </w:rPr>
              <w:t>accesso a ulteriori approfondimenti teorico-pratici.</w:t>
            </w:r>
          </w:p>
        </w:tc>
      </w:tr>
      <w:tr>
        <w:tblPrEx>
          <w:shd w:val="clear" w:color="auto" w:fill="auto"/>
        </w:tblPrEx>
        <w:trPr>
          <w:trHeight w:val="2401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Metodi didattici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Il corso sar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articolato in lezioni frontali, seminari tenuti da studiosi esperti dei temi trattati ed esercitazioni. I seminari, integrati da gruppi di discussione tematici sono tesi a incrementare la capacit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applicazione pratica delle conoscenze apprese e l'autonomia di giudizio insieme all'apprendimento delle dinamiche interattive proprie dell'apprendimento cooperativo e basato su problemi. Il corso si avvarr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inoltre anche delle nuove tecnologie ed eventualmente degli strumenti messi a disposizione dalla piattaforma e-learning di ateneo.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3802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Modalit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verifica dell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apprendimento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esame si svolge esclusivamente in forma orale. Nel corso dell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 potranno essere effettuate delle verifiche intermedie, al mero scopo di agevolare la preparazione dell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esame. Eventuali lavori scritti individuali o di gruppo effettuati nel corso delle lezioni dagli studenti frequentanti hanno lo scopo di approfondire i temi trattati nei seminari.  </w:t>
            </w:r>
          </w:p>
          <w:p>
            <w:pPr>
              <w:pStyle w:val="Corpo"/>
              <w:ind w:right="44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L'esame orale sar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teso ad accertare il grado di assimilazione degli argomenti delle lezioni e dei testi consigliati e l'acquisizione della capacit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rapportarvisi in senso critico e di tradurli sul piano dell'applicazione pratica.</w:t>
            </w:r>
          </w:p>
          <w:p>
            <w:pPr>
              <w:pStyle w:val="Normale"/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44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Lo studente viene valutato in base ai contenuti esposti, alla correttezza della forma e della ricostruzione del pensiero degli autori studiati e alla capacit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di argomentare le proprie tesi. </w:t>
            </w:r>
          </w:p>
          <w:p>
            <w:pPr>
              <w:pStyle w:val="Corpo"/>
              <w:ind w:right="441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4801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0" w:right="441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Programma esteso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Il corso si articola in due parti tematiche. Nella prima parte si intende presentare attraverso gli strumenti offerti dalla teoria dei sistemi sociali una descrizione della societ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moderna basata sul concetto di comunicazione come sviluppato nell'opera di Niklas Luhmann. Grazie a questo impianto teorico si presenteranno concetti fondamentali della teoria della societ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quali:</w:t>
            </w:r>
          </w:p>
          <w:p>
            <w:pPr>
              <w:pStyle w:val="Corpo"/>
              <w:ind w:right="44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"/>
              <w:ind w:right="44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- differenziazione sociale</w:t>
            </w:r>
          </w:p>
          <w:p>
            <w:pPr>
              <w:pStyle w:val="Corpo"/>
              <w:ind w:right="44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- media della comunicazione</w:t>
            </w:r>
          </w:p>
          <w:p>
            <w:pPr>
              <w:pStyle w:val="Corpo"/>
              <w:ind w:right="44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- evoluzione sociale</w:t>
            </w:r>
          </w:p>
          <w:p>
            <w:pPr>
              <w:pStyle w:val="Corpo"/>
              <w:ind w:right="44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- autosservazioni e autodescrizioni</w:t>
            </w:r>
          </w:p>
          <w:p>
            <w:pPr>
              <w:pStyle w:val="Corpo"/>
              <w:ind w:right="44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La seconda parte svilupper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la questione del mutamento sociale dal punto di vista della evoluzione del sistema giuridico e del sistema politico. A partire da questioni concrete si affronter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lo studio delle dinamiche diritto-politica-societ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, con riguardo al ruolo svolto dai moderni media della comunicazione.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7182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Testi di riferimento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singl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Gli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single" w:color="000000"/>
                <w:vertAlign w:val="baseline"/>
                <w:rtl w:val="0"/>
                <w:lang w:val="it-IT"/>
              </w:rPr>
              <w:t>studenti frequentanti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 studieranno il testo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single" w:color="000000"/>
                <w:vertAlign w:val="baseline"/>
                <w:rtl w:val="0"/>
                <w:lang w:val="it-IT"/>
              </w:rPr>
              <w:t>:</w:t>
            </w:r>
          </w:p>
          <w:p>
            <w:pPr>
              <w:pStyle w:val="Normale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Niklas Luhmann,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Introduzione alla teoria dei sistemi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, Pensa MultiMedia</w:t>
            </w:r>
          </w:p>
          <w:p>
            <w:pPr>
              <w:pStyle w:val="Normale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singl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integrato da parti selezionate dai seguenti testi:</w:t>
            </w:r>
          </w:p>
          <w:p>
            <w:pPr>
              <w:pStyle w:val="Normale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tabs>
                <w:tab w:val="num" w:pos="720"/>
                <w:tab w:val="clear" w:pos="716"/>
              </w:tabs>
              <w:ind w:left="720" w:hanging="10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Raffaele De Giorgi, Giancarlo Corsi,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Ridescrivere la questione meridionale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, Pensa </w:t>
              <w:tab/>
              <w:t>MultiMedia</w:t>
            </w:r>
          </w:p>
          <w:p>
            <w:pPr>
              <w:pStyle w:val="Normale"/>
              <w:widowControl w:val="0"/>
              <w:ind w:left="1457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tabs>
                <w:tab w:val="num" w:pos="720"/>
                <w:tab w:val="clear" w:pos="716"/>
              </w:tabs>
              <w:ind w:left="720" w:hanging="10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Niklas Luhmann,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Sociologia del rischio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, Bruno Mondadori</w:t>
            </w:r>
          </w:p>
          <w:p>
            <w:pPr>
              <w:pStyle w:val="Normale"/>
              <w:widowControl w:val="0"/>
              <w:ind w:left="144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tabs>
                <w:tab w:val="num" w:pos="720"/>
                <w:tab w:val="clear" w:pos="716"/>
              </w:tabs>
              <w:ind w:left="720" w:hanging="10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Gianni Giannotti,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Sociologia e sviluppo del mezzogiorno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, Besa</w:t>
            </w:r>
          </w:p>
          <w:p>
            <w:pPr>
              <w:pStyle w:val="Normale"/>
              <w:widowControl w:val="0"/>
              <w:ind w:left="144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numPr>
                <w:ilvl w:val="0"/>
                <w:numId w:val="12"/>
              </w:numPr>
              <w:tabs>
                <w:tab w:val="num" w:pos="737"/>
                <w:tab w:val="clear" w:pos="733"/>
              </w:tabs>
              <w:ind w:left="737" w:hanging="10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Luca Carbone e Stefano Magnolo (a cura di),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Territori tra sostenibilit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e </w:t>
              <w:tab/>
              <w:t>internazionalizzazione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, Form360</w:t>
            </w:r>
          </w:p>
          <w:p>
            <w:pPr>
              <w:pStyle w:val="Normale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singl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Gli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single" w:color="000000"/>
                <w:vertAlign w:val="baseline"/>
                <w:rtl w:val="0"/>
                <w:lang w:val="it-IT"/>
              </w:rPr>
              <w:t>studenti non frequentanti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 studieranno invece il testo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single" w:color="000000"/>
                <w:vertAlign w:val="baseline"/>
                <w:rtl w:val="0"/>
                <w:lang w:val="it-IT"/>
              </w:rPr>
              <w:t>:</w:t>
            </w:r>
          </w:p>
          <w:p>
            <w:pPr>
              <w:pStyle w:val="Normale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singl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Niklas Lumahnn,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Introduzione alla teoria della societ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, Pensa Multimedia </w:t>
            </w:r>
          </w:p>
          <w:p>
            <w:pPr>
              <w:pStyle w:val="Normale"/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insieme ad uno a scelta tra i testi suindicati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).</w:t>
            </w:r>
          </w:p>
          <w:p>
            <w:pPr>
              <w:pStyle w:val="Normale"/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Materiale aggiuntivo sar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indicato e reso disponibile durante le lezioni, anche in formato digitale.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>
            <w:pPr>
              <w:pStyle w:val="Corpo"/>
              <w:ind w:right="44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Altre informazioni utili</w:t>
            </w:r>
          </w:p>
        </w:tc>
        <w:tc>
          <w:tcPr>
            <w:tcW w:type="dxa" w:w="6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1"/>
            </w:tcMar>
            <w:vAlign w:val="top"/>
          </w:tcPr>
          <w:p/>
        </w:tc>
      </w:tr>
    </w:tbl>
    <w:p>
      <w:pPr>
        <w:pStyle w:val="Corpo"/>
        <w:widowControl w:val="0"/>
        <w:spacing w:before="10"/>
        <w:ind w:right="441"/>
      </w:pPr>
      <w:r>
        <w:rPr>
          <w:sz w:val="20"/>
          <w:szCs w:val="20"/>
        </w:rPr>
        <w:br w:type="textWrapping"/>
      </w:r>
      <w:r>
        <w:rPr>
          <w:sz w:val="20"/>
          <w:szCs w:val="20"/>
        </w:rPr>
        <w:br w:type="page"/>
      </w:r>
    </w:p>
    <w:p>
      <w:pPr>
        <w:pStyle w:val="Corpo"/>
        <w:widowControl w:val="0"/>
        <w:spacing w:before="10"/>
        <w:ind w:right="441"/>
      </w:pPr>
      <w:r>
        <w:rPr>
          <w:sz w:val="20"/>
          <w:szCs w:val="20"/>
        </w:rPr>
        <w:br w:type="page"/>
      </w:r>
    </w:p>
    <w:p>
      <w:pPr>
        <w:pStyle w:val="Corpo"/>
        <w:widowControl w:val="0"/>
        <w:spacing w:before="10"/>
        <w:ind w:right="441"/>
      </w:pPr>
    </w:p>
    <w:sectPr>
      <w:headerReference w:type="default" r:id="rId5"/>
      <w:footerReference w:type="default" r:id="rId6"/>
      <w:pgSz w:w="11900" w:h="16840" w:orient="portrait"/>
      <w:pgMar w:top="100" w:right="991" w:bottom="280" w:left="7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463"/>
          <w:tab w:val="clear" w:pos="0"/>
        </w:tabs>
        <w:ind w:left="463" w:hanging="4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lowerRoman"/>
      <w:suff w:val="tab"/>
      <w:lvlText w:val="%2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lowerRoman"/>
      <w:suff w:val="tab"/>
      <w:lvlText w:val="%4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lowerRoman"/>
      <w:suff w:val="tab"/>
      <w:lvlText w:val="%5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lowerRoman"/>
      <w:suff w:val="tab"/>
      <w:lvlText w:val="%7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lowerRoman"/>
      <w:suff w:val="tab"/>
      <w:lvlText w:val="%8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463"/>
          <w:tab w:val="clear" w:pos="0"/>
        </w:tabs>
        <w:ind w:left="463" w:hanging="4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lowerRoman"/>
      <w:suff w:val="tab"/>
      <w:lvlText w:val="%2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lowerRoman"/>
      <w:suff w:val="tab"/>
      <w:lvlText w:val="%4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lowerRoman"/>
      <w:suff w:val="tab"/>
      <w:lvlText w:val="%5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lowerRoman"/>
      <w:suff w:val="tab"/>
      <w:lvlText w:val="%7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lowerRoman"/>
      <w:suff w:val="tab"/>
      <w:lvlText w:val="%8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2"/>
      <w:numFmt w:val="lowerRoman"/>
      <w:suff w:val="tab"/>
      <w:lvlText w:val="%1."/>
      <w:lvlJc w:val="left"/>
      <w:pPr>
        <w:tabs>
          <w:tab w:val="num" w:pos="463"/>
          <w:tab w:val="clear" w:pos="0"/>
        </w:tabs>
        <w:ind w:left="463" w:hanging="4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lowerRoman"/>
      <w:suff w:val="tab"/>
      <w:lvlText w:val="%2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lowerRoman"/>
      <w:suff w:val="tab"/>
      <w:lvlText w:val="%4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lowerRoman"/>
      <w:suff w:val="tab"/>
      <w:lvlText w:val="%5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lowerRoman"/>
      <w:suff w:val="tab"/>
      <w:lvlText w:val="%7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lowerRoman"/>
      <w:suff w:val="tab"/>
      <w:lvlText w:val="%8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4">
    <w:multiLevelType w:val="multilevel"/>
    <w:styleLink w:val="List 0"/>
    <w:lvl w:ilvl="0">
      <w:start w:val="3"/>
      <w:numFmt w:val="lowerRoman"/>
      <w:suff w:val="tab"/>
      <w:lvlText w:val="%1."/>
      <w:lvlJc w:val="left"/>
      <w:pPr>
        <w:tabs>
          <w:tab w:val="num" w:pos="463"/>
          <w:tab w:val="clear" w:pos="0"/>
        </w:tabs>
        <w:ind w:left="463" w:hanging="4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lowerRoman"/>
      <w:suff w:val="tab"/>
      <w:lvlText w:val="%2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lowerRoman"/>
      <w:suff w:val="tab"/>
      <w:lvlText w:val="%4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lowerRoman"/>
      <w:suff w:val="tab"/>
      <w:lvlText w:val="%5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lowerRoman"/>
      <w:suff w:val="tab"/>
      <w:lvlText w:val="%7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lowerRoman"/>
      <w:suff w:val="tab"/>
      <w:lvlText w:val="%8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5">
    <w:multiLevelType w:val="multilevel"/>
    <w:styleLink w:val="List 0"/>
    <w:lvl w:ilvl="0">
      <w:start w:val="4"/>
      <w:numFmt w:val="lowerRoman"/>
      <w:suff w:val="tab"/>
      <w:lvlText w:val="%1."/>
      <w:lvlJc w:val="left"/>
      <w:pPr>
        <w:tabs>
          <w:tab w:val="num" w:pos="463"/>
          <w:tab w:val="clear" w:pos="0"/>
        </w:tabs>
        <w:ind w:left="463" w:hanging="4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lowerRoman"/>
      <w:suff w:val="tab"/>
      <w:lvlText w:val="%2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lowerRoman"/>
      <w:suff w:val="tab"/>
      <w:lvlText w:val="%4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lowerRoman"/>
      <w:suff w:val="tab"/>
      <w:lvlText w:val="%5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lowerRoman"/>
      <w:suff w:val="tab"/>
      <w:lvlText w:val="%7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lowerRoman"/>
      <w:suff w:val="tab"/>
      <w:lvlText w:val="%8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List 0"/>
    <w:lvl w:ilvl="0">
      <w:start w:val="5"/>
      <w:numFmt w:val="lowerRoman"/>
      <w:suff w:val="tab"/>
      <w:lvlText w:val="%1."/>
      <w:lvlJc w:val="left"/>
      <w:pPr>
        <w:tabs>
          <w:tab w:val="num" w:pos="463"/>
          <w:tab w:val="clear" w:pos="0"/>
        </w:tabs>
        <w:ind w:left="463" w:hanging="4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lowerRoman"/>
      <w:suff w:val="tab"/>
      <w:lvlText w:val="%2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lowerRoman"/>
      <w:suff w:val="tab"/>
      <w:lvlText w:val="%4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lowerRoman"/>
      <w:suff w:val="tab"/>
      <w:lvlText w:val="%5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lowerRoman"/>
      <w:suff w:val="tab"/>
      <w:lvlText w:val="%7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lowerRoman"/>
      <w:suff w:val="tab"/>
      <w:lvlText w:val="%8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74"/>
          <w:tab w:val="clear" w:pos="0"/>
        </w:tabs>
        <w:ind w:left="6174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16"/>
          <w:tab w:val="clear" w:pos="0"/>
        </w:tabs>
        <w:ind w:left="716" w:hanging="1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1">
      <w:start w:val="1"/>
      <w:numFmt w:val="lowerRoman"/>
      <w:suff w:val="tab"/>
      <w:lvlText w:val="%2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3">
      <w:start w:val="1"/>
      <w:numFmt w:val="lowerRoman"/>
      <w:suff w:val="tab"/>
      <w:lvlText w:val="%4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4">
      <w:start w:val="1"/>
      <w:numFmt w:val="lowerRoman"/>
      <w:suff w:val="tab"/>
      <w:lvlText w:val="%5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6">
      <w:start w:val="1"/>
      <w:numFmt w:val="lowerRoman"/>
      <w:suff w:val="tab"/>
      <w:lvlText w:val="%7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7">
      <w:start w:val="1"/>
      <w:numFmt w:val="lowerRoman"/>
      <w:suff w:val="tab"/>
      <w:lvlText w:val="%8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</w:abstractNum>
  <w:abstractNum w:abstractNumId="8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1"/>
      <w:numFmt w:val="lowerRoman"/>
      <w:suff w:val="tab"/>
      <w:lvlText w:val="%1."/>
      <w:lvlJc w:val="left"/>
      <w:pPr>
        <w:tabs>
          <w:tab w:val="num" w:pos="716"/>
          <w:tab w:val="clear" w:pos="0"/>
        </w:tabs>
        <w:ind w:left="716" w:hanging="1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1">
      <w:start w:val="1"/>
      <w:numFmt w:val="lowerRoman"/>
      <w:suff w:val="tab"/>
      <w:lvlText w:val="%2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3">
      <w:start w:val="1"/>
      <w:numFmt w:val="lowerRoman"/>
      <w:suff w:val="tab"/>
      <w:lvlText w:val="%4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4">
      <w:start w:val="1"/>
      <w:numFmt w:val="lowerRoman"/>
      <w:suff w:val="tab"/>
      <w:lvlText w:val="%5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6">
      <w:start w:val="1"/>
      <w:numFmt w:val="lowerRoman"/>
      <w:suff w:val="tab"/>
      <w:lvlText w:val="%7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7">
      <w:start w:val="1"/>
      <w:numFmt w:val="lowerRoman"/>
      <w:suff w:val="tab"/>
      <w:lvlText w:val="%8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</w:abstractNum>
  <w:abstractNum w:abstractNumId="1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3"/>
          <w:tab w:val="clear" w:pos="0"/>
        </w:tabs>
        <w:ind w:left="733" w:hanging="1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1">
      <w:start w:val="1"/>
      <w:numFmt w:val="lowerRoman"/>
      <w:suff w:val="tab"/>
      <w:lvlText w:val="%2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3">
      <w:start w:val="1"/>
      <w:numFmt w:val="lowerRoman"/>
      <w:suff w:val="tab"/>
      <w:lvlText w:val="%4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4">
      <w:start w:val="1"/>
      <w:numFmt w:val="lowerRoman"/>
      <w:suff w:val="tab"/>
      <w:lvlText w:val="%5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6">
      <w:start w:val="1"/>
      <w:numFmt w:val="lowerRoman"/>
      <w:suff w:val="tab"/>
      <w:lvlText w:val="%7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7">
      <w:start w:val="1"/>
      <w:numFmt w:val="lowerRoman"/>
      <w:suff w:val="tab"/>
      <w:lvlText w:val="%8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</w:abstractNum>
  <w:abstractNum w:abstractNumId="11">
    <w:multiLevelType w:val="multilevel"/>
    <w:styleLink w:val="List 2"/>
    <w:lvl w:ilvl="0">
      <w:start w:val="4"/>
      <w:numFmt w:val="lowerRoman"/>
      <w:suff w:val="tab"/>
      <w:lvlText w:val="%1."/>
      <w:lvlJc w:val="left"/>
      <w:pPr>
        <w:tabs>
          <w:tab w:val="num" w:pos="733"/>
          <w:tab w:val="clear" w:pos="0"/>
        </w:tabs>
        <w:ind w:left="733" w:hanging="1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lowerRoman"/>
      <w:suff w:val="tab"/>
      <w:lvlText w:val="%2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3">
      <w:start w:val="1"/>
      <w:numFmt w:val="lowerRoman"/>
      <w:suff w:val="tab"/>
      <w:lvlText w:val="%4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4">
      <w:start w:val="1"/>
      <w:numFmt w:val="lowerRoman"/>
      <w:suff w:val="tab"/>
      <w:lvlText w:val="%5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6">
      <w:start w:val="1"/>
      <w:numFmt w:val="lowerRoman"/>
      <w:suff w:val="tab"/>
      <w:lvlText w:val="%7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7">
      <w:start w:val="1"/>
      <w:numFmt w:val="lowerRoman"/>
      <w:suff w:val="tab"/>
      <w:lvlText w:val="%8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211"/>
          <w:tab w:val="clear" w:pos="0"/>
        </w:tabs>
        <w:ind w:left="621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rame Contents">
    <w:name w:val="Frame Contents"/>
    <w:next w:val="Fram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" w:after="0" w:line="240" w:lineRule="auto"/>
      <w:ind w:left="103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e">
    <w:name w:val="Normale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8"/>
      </w:numPr>
    </w:pPr>
  </w:style>
  <w:style w:type="numbering" w:styleId="Stile importato 2">
    <w:name w:val="Stile importato 2"/>
    <w:next w:val="Stile importato 2"/>
    <w:pPr>
      <w:numPr>
        <w:numId w:val="9"/>
      </w:numPr>
    </w:pPr>
  </w:style>
  <w:style w:type="numbering" w:styleId="List 2">
    <w:name w:val="List 2"/>
    <w:basedOn w:val="Stile importato 2"/>
    <w:next w:val="List 2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